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DB13" w14:textId="141A5F60" w:rsidR="005560A7" w:rsidRPr="00920313" w:rsidRDefault="005560A7" w:rsidP="005560A7">
      <w:pPr>
        <w:jc w:val="center"/>
        <w:rPr>
          <w:b/>
          <w:bCs/>
          <w:sz w:val="36"/>
          <w:szCs w:val="36"/>
          <w:lang w:val="en-US"/>
        </w:rPr>
      </w:pPr>
      <w:r w:rsidRPr="00920313">
        <w:rPr>
          <w:b/>
          <w:bCs/>
          <w:sz w:val="36"/>
          <w:szCs w:val="36"/>
          <w:lang w:val="en-US"/>
        </w:rPr>
        <w:t xml:space="preserve">Geochemistry Workshop in </w:t>
      </w:r>
      <w:proofErr w:type="spellStart"/>
      <w:r w:rsidRPr="00920313">
        <w:rPr>
          <w:b/>
          <w:bCs/>
          <w:sz w:val="36"/>
          <w:szCs w:val="36"/>
          <w:lang w:val="en-US"/>
        </w:rPr>
        <w:t>ioGAS</w:t>
      </w:r>
      <w:proofErr w:type="spellEnd"/>
      <w:r w:rsidRPr="00920313">
        <w:rPr>
          <w:b/>
          <w:bCs/>
          <w:sz w:val="36"/>
          <w:szCs w:val="36"/>
          <w:lang w:val="en-US"/>
        </w:rPr>
        <w:t xml:space="preserve"> based on the</w:t>
      </w:r>
      <w:r w:rsidR="00920313">
        <w:rPr>
          <w:b/>
          <w:bCs/>
          <w:sz w:val="36"/>
          <w:szCs w:val="36"/>
          <w:lang w:val="en-US"/>
        </w:rPr>
        <w:t xml:space="preserve"> Eastern Goldfields Greenstone Geochemical Barcoding Project</w:t>
      </w:r>
    </w:p>
    <w:p w14:paraId="65E7F7F7" w14:textId="77777777" w:rsidR="005560A7" w:rsidRPr="005560A7" w:rsidRDefault="005560A7" w:rsidP="005560A7">
      <w:pPr>
        <w:jc w:val="center"/>
        <w:rPr>
          <w:b/>
          <w:bCs/>
          <w:sz w:val="52"/>
          <w:szCs w:val="52"/>
          <w:lang w:val="en-US"/>
        </w:rPr>
      </w:pPr>
    </w:p>
    <w:p w14:paraId="1D3D6A27" w14:textId="77777777" w:rsidR="00920313" w:rsidRDefault="00920313" w:rsidP="005560A7">
      <w:pPr>
        <w:jc w:val="center"/>
        <w:rPr>
          <w:b/>
          <w:bCs/>
          <w:sz w:val="52"/>
          <w:szCs w:val="52"/>
          <w:lang w:val="en-US"/>
        </w:rPr>
      </w:pPr>
    </w:p>
    <w:p w14:paraId="471B0385" w14:textId="52C9A7F6" w:rsidR="005560A7" w:rsidRDefault="005560A7" w:rsidP="005560A7">
      <w:pPr>
        <w:jc w:val="center"/>
        <w:rPr>
          <w:lang w:val="en-US"/>
        </w:rPr>
      </w:pPr>
      <w:r w:rsidRPr="005560A7">
        <w:rPr>
          <w:noProof/>
        </w:rPr>
        <w:drawing>
          <wp:inline distT="0" distB="0" distL="0" distR="0" wp14:anchorId="169CF53D" wp14:editId="555CCB8A">
            <wp:extent cx="5731510" cy="42722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72280"/>
                    </a:xfrm>
                    <a:prstGeom prst="rect">
                      <a:avLst/>
                    </a:prstGeom>
                  </pic:spPr>
                </pic:pic>
              </a:graphicData>
            </a:graphic>
          </wp:inline>
        </w:drawing>
      </w:r>
    </w:p>
    <w:p w14:paraId="58B59512" w14:textId="77777777" w:rsidR="005560A7" w:rsidRDefault="005560A7" w:rsidP="005560A7">
      <w:pPr>
        <w:jc w:val="center"/>
        <w:rPr>
          <w:lang w:val="en-US"/>
        </w:rPr>
      </w:pPr>
    </w:p>
    <w:p w14:paraId="1FBD9C2B" w14:textId="77777777" w:rsidR="005560A7" w:rsidRDefault="005560A7" w:rsidP="005560A7">
      <w:pPr>
        <w:rPr>
          <w:b/>
          <w:bCs/>
          <w:sz w:val="28"/>
          <w:szCs w:val="28"/>
          <w:lang w:val="en-US"/>
        </w:rPr>
      </w:pPr>
    </w:p>
    <w:p w14:paraId="17741C64" w14:textId="77777777" w:rsidR="005560A7" w:rsidRDefault="005560A7" w:rsidP="005560A7">
      <w:pPr>
        <w:rPr>
          <w:b/>
          <w:bCs/>
          <w:sz w:val="28"/>
          <w:szCs w:val="28"/>
          <w:lang w:val="en-US"/>
        </w:rPr>
      </w:pPr>
    </w:p>
    <w:p w14:paraId="25438724" w14:textId="481CE46E" w:rsidR="005560A7" w:rsidRPr="005560A7" w:rsidRDefault="005560A7" w:rsidP="005560A7">
      <w:pPr>
        <w:rPr>
          <w:b/>
          <w:bCs/>
          <w:sz w:val="28"/>
          <w:szCs w:val="28"/>
          <w:lang w:val="en-US"/>
        </w:rPr>
      </w:pPr>
      <w:r w:rsidRPr="005560A7">
        <w:rPr>
          <w:b/>
          <w:bCs/>
          <w:sz w:val="28"/>
          <w:szCs w:val="28"/>
          <w:lang w:val="en-US"/>
        </w:rPr>
        <w:t>Scott Halley</w:t>
      </w:r>
    </w:p>
    <w:p w14:paraId="1A1A8B94" w14:textId="397E3B15" w:rsidR="005560A7" w:rsidRDefault="00A609BF" w:rsidP="005560A7">
      <w:pPr>
        <w:rPr>
          <w:lang w:val="en-US"/>
        </w:rPr>
      </w:pPr>
      <w:r>
        <w:rPr>
          <w:b/>
          <w:bCs/>
          <w:sz w:val="28"/>
          <w:szCs w:val="28"/>
          <w:lang w:val="en-US"/>
        </w:rPr>
        <w:t>07</w:t>
      </w:r>
      <w:r w:rsidR="005560A7" w:rsidRPr="005560A7">
        <w:rPr>
          <w:b/>
          <w:bCs/>
          <w:sz w:val="28"/>
          <w:szCs w:val="28"/>
          <w:lang w:val="en-US"/>
        </w:rPr>
        <w:t>/1</w:t>
      </w:r>
      <w:r>
        <w:rPr>
          <w:b/>
          <w:bCs/>
          <w:sz w:val="28"/>
          <w:szCs w:val="28"/>
          <w:lang w:val="en-US"/>
        </w:rPr>
        <w:t>0</w:t>
      </w:r>
      <w:r w:rsidR="005560A7" w:rsidRPr="005560A7">
        <w:rPr>
          <w:b/>
          <w:bCs/>
          <w:sz w:val="28"/>
          <w:szCs w:val="28"/>
          <w:lang w:val="en-US"/>
        </w:rPr>
        <w:t>/202</w:t>
      </w:r>
      <w:r>
        <w:rPr>
          <w:b/>
          <w:bCs/>
          <w:sz w:val="28"/>
          <w:szCs w:val="28"/>
          <w:lang w:val="en-US"/>
        </w:rPr>
        <w:t>1</w:t>
      </w:r>
      <w:r w:rsidR="005560A7">
        <w:rPr>
          <w:lang w:val="en-US"/>
        </w:rPr>
        <w:br w:type="page"/>
      </w:r>
    </w:p>
    <w:p w14:paraId="42517004" w14:textId="77777777" w:rsidR="00A57505" w:rsidRPr="009510B5" w:rsidRDefault="00A57505" w:rsidP="009510B5">
      <w:pPr>
        <w:pStyle w:val="Heading1"/>
        <w:rPr>
          <w:color w:val="auto"/>
          <w:lang w:val="en-US"/>
        </w:rPr>
      </w:pPr>
      <w:r w:rsidRPr="009510B5">
        <w:rPr>
          <w:color w:val="auto"/>
          <w:lang w:val="en-US"/>
        </w:rPr>
        <w:lastRenderedPageBreak/>
        <w:t>Introduction</w:t>
      </w:r>
    </w:p>
    <w:p w14:paraId="6C872AF2" w14:textId="5CE3DE64" w:rsidR="00C85BBF" w:rsidRDefault="00C85BBF">
      <w:pPr>
        <w:rPr>
          <w:lang w:val="en-US"/>
        </w:rPr>
      </w:pPr>
      <w:r>
        <w:rPr>
          <w:lang w:val="en-US"/>
        </w:rPr>
        <w:t xml:space="preserve">The Barcode project is an initiative of the Geological Survey of Western Australia. The intention of the project is to </w:t>
      </w:r>
      <w:proofErr w:type="spellStart"/>
      <w:r>
        <w:rPr>
          <w:lang w:val="en-US"/>
        </w:rPr>
        <w:t>reanalyse</w:t>
      </w:r>
      <w:proofErr w:type="spellEnd"/>
      <w:r>
        <w:rPr>
          <w:lang w:val="en-US"/>
        </w:rPr>
        <w:t xml:space="preserve"> powders from GSWA and Geoscience Australia </w:t>
      </w:r>
      <w:r w:rsidR="00A609BF">
        <w:rPr>
          <w:lang w:val="en-US"/>
        </w:rPr>
        <w:t xml:space="preserve">collections </w:t>
      </w:r>
      <w:r>
        <w:rPr>
          <w:lang w:val="en-US"/>
        </w:rPr>
        <w:t>using consistent</w:t>
      </w:r>
      <w:r w:rsidR="00F77A78">
        <w:rPr>
          <w:lang w:val="en-US"/>
        </w:rPr>
        <w:t>,</w:t>
      </w:r>
      <w:r>
        <w:rPr>
          <w:lang w:val="en-US"/>
        </w:rPr>
        <w:t xml:space="preserve"> high quality analytical methods </w:t>
      </w:r>
      <w:r w:rsidR="00F77A78">
        <w:rPr>
          <w:lang w:val="en-US"/>
        </w:rPr>
        <w:t>to</w:t>
      </w:r>
      <w:r>
        <w:rPr>
          <w:lang w:val="en-US"/>
        </w:rPr>
        <w:t xml:space="preserve"> geochemically fingerprint stratigraphic sequences (mostly coherent extrusive </w:t>
      </w:r>
      <w:proofErr w:type="spellStart"/>
      <w:r>
        <w:rPr>
          <w:lang w:val="en-US"/>
        </w:rPr>
        <w:t>volcanics</w:t>
      </w:r>
      <w:proofErr w:type="spellEnd"/>
      <w:r>
        <w:rPr>
          <w:lang w:val="en-US"/>
        </w:rPr>
        <w:t>) and granitoids in order to make stratigraphic correlations.</w:t>
      </w:r>
    </w:p>
    <w:p w14:paraId="39088A5F" w14:textId="14E10232" w:rsidR="00165FE7" w:rsidRDefault="00165FE7">
      <w:pPr>
        <w:rPr>
          <w:lang w:val="en-US"/>
        </w:rPr>
      </w:pPr>
      <w:r>
        <w:rPr>
          <w:lang w:val="en-US"/>
        </w:rPr>
        <w:t xml:space="preserve">The samples were </w:t>
      </w:r>
      <w:proofErr w:type="spellStart"/>
      <w:r>
        <w:rPr>
          <w:lang w:val="en-US"/>
        </w:rPr>
        <w:t>analysed</w:t>
      </w:r>
      <w:proofErr w:type="spellEnd"/>
      <w:r>
        <w:rPr>
          <w:lang w:val="en-US"/>
        </w:rPr>
        <w:t xml:space="preserve"> using the Bureau Veritas laser ablation ICP-MS method. This method uses a Li-borate glass disc to analyze the major elements by conventional XRF, and then uses a chip of the glass disc to measure the trace elements by laser ablation ICP-MS. </w:t>
      </w:r>
      <w:r w:rsidR="00C85BBF">
        <w:rPr>
          <w:lang w:val="en-US"/>
        </w:rPr>
        <w:t>W</w:t>
      </w:r>
      <w:r>
        <w:rPr>
          <w:lang w:val="en-US"/>
        </w:rPr>
        <w:t xml:space="preserve">ith this method the majors </w:t>
      </w:r>
      <w:r w:rsidR="00C85BBF">
        <w:rPr>
          <w:lang w:val="en-US"/>
        </w:rPr>
        <w:t>were</w:t>
      </w:r>
      <w:r>
        <w:rPr>
          <w:lang w:val="en-US"/>
        </w:rPr>
        <w:t xml:space="preserve"> reported as weight% of oxides. </w:t>
      </w:r>
      <w:r w:rsidR="00C85BBF">
        <w:rPr>
          <w:lang w:val="en-US"/>
        </w:rPr>
        <w:t xml:space="preserve">Hugh Smithies, the project manager, then recalculated the major elements on a volatile-free basis in order to interrogate the results in a classical igneous geochemistry style. </w:t>
      </w:r>
      <w:r w:rsidR="002647E8">
        <w:rPr>
          <w:lang w:val="en-US"/>
        </w:rPr>
        <w:t xml:space="preserve">Most exploration companies deal with 4 acid digest ICP analyses rather than fusion XRF. Therefore for this workshop, the data format was modified to </w:t>
      </w:r>
      <w:r w:rsidR="00C85BBF">
        <w:rPr>
          <w:lang w:val="en-US"/>
        </w:rPr>
        <w:t>look and feel more like the analytical results exploration geologists would be familiar with (</w:t>
      </w:r>
      <w:proofErr w:type="spellStart"/>
      <w:r w:rsidR="00C85BBF">
        <w:rPr>
          <w:lang w:val="en-US"/>
        </w:rPr>
        <w:t>ie</w:t>
      </w:r>
      <w:proofErr w:type="spellEnd"/>
      <w:r w:rsidR="00C85BBF">
        <w:rPr>
          <w:lang w:val="en-US"/>
        </w:rPr>
        <w:t xml:space="preserve"> </w:t>
      </w:r>
      <w:r>
        <w:rPr>
          <w:lang w:val="en-US"/>
        </w:rPr>
        <w:t>4 acid digest ICP-AES for the major elements</w:t>
      </w:r>
      <w:r w:rsidR="00C85BBF">
        <w:rPr>
          <w:lang w:val="en-US"/>
        </w:rPr>
        <w:t xml:space="preserve"> and ICP-MS for the trace elements). To do that, I converted the major element oxides to Element_% values, but I retained SiO2 and LOI. </w:t>
      </w:r>
    </w:p>
    <w:p w14:paraId="4C84D28D" w14:textId="62325839" w:rsidR="003B077F" w:rsidRDefault="003B077F">
      <w:pPr>
        <w:rPr>
          <w:lang w:val="en-US"/>
        </w:rPr>
      </w:pPr>
      <w:r>
        <w:rPr>
          <w:lang w:val="en-US"/>
        </w:rPr>
        <w:t xml:space="preserve">Interpreting a data file like this is very different to working on prospect-scale data. If we were working on prospect data at the conclusion of a drilling campaign, we might have around 10,000 analyses of drill samples from 6 to 8 different geological units. It would be very easy to identify clusters of samples from the various lithological units. This is a dataset that contains analyses of every different rock type across the eastern </w:t>
      </w:r>
      <w:proofErr w:type="spellStart"/>
      <w:r>
        <w:rPr>
          <w:lang w:val="en-US"/>
        </w:rPr>
        <w:t>Yilgarn</w:t>
      </w:r>
      <w:proofErr w:type="spellEnd"/>
      <w:r>
        <w:rPr>
          <w:lang w:val="en-US"/>
        </w:rPr>
        <w:t xml:space="preserve"> Craton. There are 5,500 analyses from perhaps 1000 different units. We will not see clusters in the data that </w:t>
      </w:r>
      <w:r w:rsidR="00A57505">
        <w:rPr>
          <w:lang w:val="en-US"/>
        </w:rPr>
        <w:t>represent different units; rather we will see trends in the data that are a proxy for different magmatic processes, reflecting differences in source, degree of melting and fractionation processes. The objective of this exercise is to recognize how those processes are manifested particularly in the trace element chemistry (components that will not be redistributed by hydrothermal processes).</w:t>
      </w:r>
    </w:p>
    <w:p w14:paraId="5AD1DCD7" w14:textId="77777777" w:rsidR="00F77A78" w:rsidRDefault="00F77A78">
      <w:pPr>
        <w:rPr>
          <w:lang w:val="en-US"/>
        </w:rPr>
      </w:pPr>
      <w:r>
        <w:rPr>
          <w:lang w:val="en-US"/>
        </w:rPr>
        <w:br w:type="page"/>
      </w:r>
    </w:p>
    <w:p w14:paraId="30B919E4" w14:textId="71A8264A" w:rsidR="00A57505" w:rsidRPr="00F77A78" w:rsidRDefault="00A57505" w:rsidP="00F77A78">
      <w:pPr>
        <w:pStyle w:val="Heading1"/>
        <w:rPr>
          <w:color w:val="auto"/>
          <w:lang w:val="en-US"/>
        </w:rPr>
      </w:pPr>
      <w:r w:rsidRPr="00F77A78">
        <w:rPr>
          <w:color w:val="auto"/>
          <w:lang w:val="en-US"/>
        </w:rPr>
        <w:lastRenderedPageBreak/>
        <w:t>Part 1. Interpreting mafic to ultramafic rocks.</w:t>
      </w:r>
    </w:p>
    <w:p w14:paraId="30B96AA5" w14:textId="088B5CFD" w:rsidR="00A57505" w:rsidRDefault="003B077F">
      <w:pPr>
        <w:rPr>
          <w:lang w:val="en-US"/>
        </w:rPr>
      </w:pPr>
      <w:r>
        <w:rPr>
          <w:lang w:val="en-US"/>
        </w:rPr>
        <w:t xml:space="preserve">Open the Barcode Workshop </w:t>
      </w:r>
      <w:proofErr w:type="spellStart"/>
      <w:r>
        <w:rPr>
          <w:lang w:val="en-US"/>
        </w:rPr>
        <w:t>ioGAS</w:t>
      </w:r>
      <w:proofErr w:type="spellEnd"/>
      <w:r w:rsidR="002647E8">
        <w:rPr>
          <w:lang w:val="en-US"/>
        </w:rPr>
        <w:t xml:space="preserve"> file</w:t>
      </w:r>
      <w:r>
        <w:rPr>
          <w:lang w:val="en-US"/>
        </w:rPr>
        <w:t xml:space="preserve">. </w:t>
      </w:r>
    </w:p>
    <w:p w14:paraId="3800D50E" w14:textId="7725AFC7" w:rsidR="009E3B45" w:rsidRDefault="009E3B45">
      <w:pPr>
        <w:rPr>
          <w:lang w:val="en-US"/>
        </w:rPr>
      </w:pPr>
      <w:r w:rsidRPr="009E3B45">
        <w:rPr>
          <w:noProof/>
        </w:rPr>
        <w:drawing>
          <wp:inline distT="0" distB="0" distL="0" distR="0" wp14:anchorId="24522A81" wp14:editId="0B41D28C">
            <wp:extent cx="5731510" cy="819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19150"/>
                    </a:xfrm>
                    <a:prstGeom prst="rect">
                      <a:avLst/>
                    </a:prstGeom>
                  </pic:spPr>
                </pic:pic>
              </a:graphicData>
            </a:graphic>
          </wp:inline>
        </w:drawing>
      </w:r>
    </w:p>
    <w:p w14:paraId="48E083C7" w14:textId="2C5A4B6F" w:rsidR="009E3B45" w:rsidRDefault="009E3B45">
      <w:pPr>
        <w:rPr>
          <w:lang w:val="en-US"/>
        </w:rPr>
      </w:pPr>
      <w:r>
        <w:rPr>
          <w:lang w:val="en-US"/>
        </w:rPr>
        <w:t xml:space="preserve">Go to the Select Variables icon. From the drop-down list, select </w:t>
      </w:r>
      <w:r w:rsidR="00842085">
        <w:rPr>
          <w:lang w:val="en-US"/>
        </w:rPr>
        <w:t xml:space="preserve">SiO2, Mg, Fe, Cr, Al, Sc and </w:t>
      </w:r>
      <w:proofErr w:type="spellStart"/>
      <w:r w:rsidR="00842085">
        <w:rPr>
          <w:lang w:val="en-US"/>
        </w:rPr>
        <w:t>Ti</w:t>
      </w:r>
      <w:proofErr w:type="spellEnd"/>
      <w:r w:rsidR="00842085">
        <w:rPr>
          <w:lang w:val="en-US"/>
        </w:rPr>
        <w:t xml:space="preserve">. </w:t>
      </w:r>
      <w:r w:rsidR="00165FE7">
        <w:rPr>
          <w:lang w:val="en-US"/>
        </w:rPr>
        <w:t>Double click on those elements to select them, or highlight the name and use the white arrow to select them. Click on OK to accept the selection.</w:t>
      </w:r>
    </w:p>
    <w:p w14:paraId="71238F05" w14:textId="06EBB640" w:rsidR="00165FE7" w:rsidRDefault="00A57505">
      <w:pPr>
        <w:rPr>
          <w:lang w:val="en-US"/>
        </w:rPr>
      </w:pPr>
      <w:r>
        <w:rPr>
          <w:noProof/>
        </w:rPr>
        <w:drawing>
          <wp:inline distT="0" distB="0" distL="0" distR="0" wp14:anchorId="0199A1C3" wp14:editId="1BBB6103">
            <wp:extent cx="2880000" cy="30510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3051026"/>
                    </a:xfrm>
                    <a:prstGeom prst="rect">
                      <a:avLst/>
                    </a:prstGeom>
                  </pic:spPr>
                </pic:pic>
              </a:graphicData>
            </a:graphic>
          </wp:inline>
        </w:drawing>
      </w:r>
    </w:p>
    <w:p w14:paraId="033B3012" w14:textId="69BEDE07" w:rsidR="00165FE7" w:rsidRDefault="00EB333B">
      <w:pPr>
        <w:rPr>
          <w:lang w:val="en-US"/>
        </w:rPr>
      </w:pPr>
      <w:r w:rsidRPr="00EB333B">
        <w:rPr>
          <w:noProof/>
        </w:rPr>
        <w:drawing>
          <wp:inline distT="0" distB="0" distL="0" distR="0" wp14:anchorId="5A58A721" wp14:editId="2EA6AF70">
            <wp:extent cx="5731510" cy="92202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922020"/>
                    </a:xfrm>
                    <a:prstGeom prst="rect">
                      <a:avLst/>
                    </a:prstGeom>
                  </pic:spPr>
                </pic:pic>
              </a:graphicData>
            </a:graphic>
          </wp:inline>
        </w:drawing>
      </w:r>
    </w:p>
    <w:p w14:paraId="120E2B8E" w14:textId="77777777" w:rsidR="00842085" w:rsidRDefault="00165FE7">
      <w:pPr>
        <w:rPr>
          <w:lang w:val="en-US"/>
        </w:rPr>
      </w:pPr>
      <w:r>
        <w:rPr>
          <w:lang w:val="en-US"/>
        </w:rPr>
        <w:t xml:space="preserve">Go to Home, XY Plot, </w:t>
      </w:r>
      <w:proofErr w:type="spellStart"/>
      <w:r w:rsidR="00842085">
        <w:rPr>
          <w:lang w:val="en-US"/>
        </w:rPr>
        <w:t>Xy</w:t>
      </w:r>
      <w:proofErr w:type="spellEnd"/>
      <w:r>
        <w:rPr>
          <w:lang w:val="en-US"/>
        </w:rPr>
        <w:t xml:space="preserve"> plot. This will take the first element on the list (</w:t>
      </w:r>
      <w:r w:rsidR="00842085">
        <w:rPr>
          <w:lang w:val="en-US"/>
        </w:rPr>
        <w:t>SiO2</w:t>
      </w:r>
      <w:r>
        <w:rPr>
          <w:lang w:val="en-US"/>
        </w:rPr>
        <w:t xml:space="preserve">) and plot it on the </w:t>
      </w:r>
      <w:r w:rsidR="00842085">
        <w:rPr>
          <w:lang w:val="en-US"/>
        </w:rPr>
        <w:t>X</w:t>
      </w:r>
      <w:r>
        <w:rPr>
          <w:lang w:val="en-US"/>
        </w:rPr>
        <w:t xml:space="preserve"> axis against all the other elements in the list. </w:t>
      </w:r>
    </w:p>
    <w:p w14:paraId="3B3FF5B3" w14:textId="72944A5D" w:rsidR="00842085" w:rsidRDefault="00E70781">
      <w:pPr>
        <w:rPr>
          <w:lang w:val="en-US"/>
        </w:rPr>
      </w:pPr>
      <w:r w:rsidRPr="00E70781">
        <w:rPr>
          <w:noProof/>
          <w:lang w:val="en-US"/>
        </w:rPr>
        <w:lastRenderedPageBreak/>
        <w:drawing>
          <wp:inline distT="0" distB="0" distL="0" distR="0" wp14:anchorId="6E352250" wp14:editId="1B9E4E10">
            <wp:extent cx="5731510" cy="2472055"/>
            <wp:effectExtent l="0" t="0" r="254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472055"/>
                    </a:xfrm>
                    <a:prstGeom prst="rect">
                      <a:avLst/>
                    </a:prstGeom>
                  </pic:spPr>
                </pic:pic>
              </a:graphicData>
            </a:graphic>
          </wp:inline>
        </w:drawing>
      </w:r>
    </w:p>
    <w:p w14:paraId="3DF5C553" w14:textId="6E04CAD6" w:rsidR="00EB333B" w:rsidRDefault="00EB333B">
      <w:pPr>
        <w:rPr>
          <w:lang w:val="en-US"/>
        </w:rPr>
      </w:pPr>
      <w:r w:rsidRPr="003B41DF">
        <w:rPr>
          <w:noProof/>
        </w:rPr>
        <w:drawing>
          <wp:anchor distT="0" distB="0" distL="114300" distR="114300" simplePos="0" relativeHeight="251660288" behindDoc="0" locked="0" layoutInCell="1" allowOverlap="1" wp14:anchorId="5EBC7E2C" wp14:editId="75168E21">
            <wp:simplePos x="0" y="0"/>
            <wp:positionH relativeFrom="column">
              <wp:posOffset>3701761</wp:posOffset>
            </wp:positionH>
            <wp:positionV relativeFrom="paragraph">
              <wp:posOffset>62172</wp:posOffset>
            </wp:positionV>
            <wp:extent cx="1943619" cy="3240000"/>
            <wp:effectExtent l="19050" t="19050" r="19050" b="1778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43619" cy="32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lang w:val="en-US"/>
        </w:rPr>
        <w:t xml:space="preserve">Add a point density contour overlay. The icon to activate this is on the right hand toolbar. The point density contour divides each plot into 180 x 140 pixels, and then overlays a rainbow scale </w:t>
      </w:r>
      <w:proofErr w:type="spellStart"/>
      <w:r>
        <w:rPr>
          <w:lang w:val="en-US"/>
        </w:rPr>
        <w:t>colour</w:t>
      </w:r>
      <w:proofErr w:type="spellEnd"/>
      <w:r>
        <w:rPr>
          <w:lang w:val="en-US"/>
        </w:rPr>
        <w:t xml:space="preserve"> defined by the number of samples plotting within each pixel. With large data sets, it is often useful to change the point density settings by clicking on the adjacent icon. Using this icon you can increase the number of pixels, thus defining the populations more tightly. </w:t>
      </w:r>
    </w:p>
    <w:p w14:paraId="46C319F4" w14:textId="48E6584C" w:rsidR="00E70781" w:rsidRDefault="00E70781">
      <w:pPr>
        <w:rPr>
          <w:lang w:val="en-US"/>
        </w:rPr>
      </w:pPr>
      <w:r w:rsidRPr="00E70781">
        <w:rPr>
          <w:noProof/>
          <w:lang w:val="en-US"/>
        </w:rPr>
        <w:drawing>
          <wp:inline distT="0" distB="0" distL="0" distR="0" wp14:anchorId="783863CD" wp14:editId="3612388D">
            <wp:extent cx="5731510" cy="2472055"/>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72055"/>
                    </a:xfrm>
                    <a:prstGeom prst="rect">
                      <a:avLst/>
                    </a:prstGeom>
                  </pic:spPr>
                </pic:pic>
              </a:graphicData>
            </a:graphic>
          </wp:inline>
        </w:drawing>
      </w:r>
    </w:p>
    <w:p w14:paraId="47D62C75" w14:textId="1628DEAD" w:rsidR="00EB333B" w:rsidRDefault="00EB333B">
      <w:pPr>
        <w:rPr>
          <w:lang w:val="en-US"/>
        </w:rPr>
      </w:pPr>
      <w:r>
        <w:rPr>
          <w:lang w:val="en-US"/>
        </w:rPr>
        <w:t xml:space="preserve">In the Attribute manager, add a new </w:t>
      </w:r>
      <w:proofErr w:type="spellStart"/>
      <w:r>
        <w:rPr>
          <w:lang w:val="en-US"/>
        </w:rPr>
        <w:t>colour</w:t>
      </w:r>
      <w:proofErr w:type="spellEnd"/>
      <w:r>
        <w:rPr>
          <w:lang w:val="en-US"/>
        </w:rPr>
        <w:t xml:space="preserve"> group</w:t>
      </w:r>
      <w:r w:rsidR="00E055F8">
        <w:rPr>
          <w:lang w:val="en-US"/>
        </w:rPr>
        <w:t>. Name it Basalt, and make it green.</w:t>
      </w:r>
    </w:p>
    <w:p w14:paraId="38F36292" w14:textId="759FE2F1" w:rsidR="00E055F8" w:rsidRDefault="00E055F8">
      <w:pPr>
        <w:rPr>
          <w:lang w:val="en-US"/>
        </w:rPr>
      </w:pPr>
      <w:r>
        <w:rPr>
          <w:noProof/>
        </w:rPr>
        <w:lastRenderedPageBreak/>
        <w:drawing>
          <wp:inline distT="0" distB="0" distL="0" distR="0" wp14:anchorId="11D2306A" wp14:editId="37F7DCEE">
            <wp:extent cx="2880000" cy="2036676"/>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2036676"/>
                    </a:xfrm>
                    <a:prstGeom prst="rect">
                      <a:avLst/>
                    </a:prstGeom>
                  </pic:spPr>
                </pic:pic>
              </a:graphicData>
            </a:graphic>
          </wp:inline>
        </w:drawing>
      </w:r>
    </w:p>
    <w:p w14:paraId="31FEB699" w14:textId="194C9B27" w:rsidR="00E70781" w:rsidRDefault="00E055F8">
      <w:pPr>
        <w:rPr>
          <w:lang w:val="en-US"/>
        </w:rPr>
      </w:pPr>
      <w:r w:rsidRPr="00E055F8">
        <w:rPr>
          <w:noProof/>
        </w:rPr>
        <w:drawing>
          <wp:inline distT="0" distB="0" distL="0" distR="0" wp14:anchorId="3072785F" wp14:editId="5BAA4525">
            <wp:extent cx="5731510" cy="179324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793240"/>
                    </a:xfrm>
                    <a:prstGeom prst="rect">
                      <a:avLst/>
                    </a:prstGeom>
                  </pic:spPr>
                </pic:pic>
              </a:graphicData>
            </a:graphic>
          </wp:inline>
        </w:drawing>
      </w:r>
    </w:p>
    <w:p w14:paraId="2AE8E3C9" w14:textId="0AA9F7A0" w:rsidR="00E055F8" w:rsidRDefault="00E055F8">
      <w:pPr>
        <w:rPr>
          <w:lang w:val="en-US"/>
        </w:rPr>
      </w:pPr>
      <w:r>
        <w:rPr>
          <w:lang w:val="en-US"/>
        </w:rPr>
        <w:t xml:space="preserve">Go to the SiO2 vs Sc plot. There is a large cluster of points at around 50% SiO2 and 30 to 55ppm Sc. These are the mafic rocks. From this cluster, there is a trend of data points to lower SiO2 values and lower Sc. These are the ultramafic rocks. To begin with, select all of these samples using the polygon select tool and place them into the green group. </w:t>
      </w:r>
      <w:r w:rsidR="0053496F">
        <w:rPr>
          <w:lang w:val="en-US"/>
        </w:rPr>
        <w:t>Use the breaks in the point density overlay to help pick the extent of this group.</w:t>
      </w:r>
    </w:p>
    <w:p w14:paraId="516BD1E0" w14:textId="77777777" w:rsidR="0053496F" w:rsidRDefault="00E055F8" w:rsidP="0053496F">
      <w:pPr>
        <w:rPr>
          <w:lang w:val="en-US"/>
        </w:rPr>
      </w:pPr>
      <w:r>
        <w:rPr>
          <w:lang w:val="en-US"/>
        </w:rPr>
        <w:t xml:space="preserve">Next, go to the SiO2 vs Mg plot. Make a new </w:t>
      </w:r>
      <w:proofErr w:type="spellStart"/>
      <w:r>
        <w:rPr>
          <w:lang w:val="en-US"/>
        </w:rPr>
        <w:t>colour</w:t>
      </w:r>
      <w:proofErr w:type="spellEnd"/>
      <w:r>
        <w:rPr>
          <w:lang w:val="en-US"/>
        </w:rPr>
        <w:t xml:space="preserve"> group. Make it purple and name it Ultramafic. </w:t>
      </w:r>
      <w:r w:rsidR="0053496F">
        <w:rPr>
          <w:lang w:val="en-US"/>
        </w:rPr>
        <w:t>Ultramafic rocks are sometimes defined as having &gt;18% MgO (11% Mg). Select the samples with &gt;11% Mg and add them to the ultramafic group. Use the breaks in the point density overlay to help pick the extent of this group.</w:t>
      </w:r>
    </w:p>
    <w:p w14:paraId="28D2DC58" w14:textId="393E0398" w:rsidR="00E055F8" w:rsidRDefault="0053496F">
      <w:pPr>
        <w:rPr>
          <w:lang w:val="en-US"/>
        </w:rPr>
      </w:pPr>
      <w:r>
        <w:rPr>
          <w:noProof/>
        </w:rPr>
        <w:drawing>
          <wp:inline distT="0" distB="0" distL="0" distR="0" wp14:anchorId="1B1CA9AD" wp14:editId="35A601F4">
            <wp:extent cx="2880000" cy="204497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2044972"/>
                    </a:xfrm>
                    <a:prstGeom prst="rect">
                      <a:avLst/>
                    </a:prstGeom>
                  </pic:spPr>
                </pic:pic>
              </a:graphicData>
            </a:graphic>
          </wp:inline>
        </w:drawing>
      </w:r>
    </w:p>
    <w:p w14:paraId="11152113" w14:textId="77777777" w:rsidR="00E055F8" w:rsidRDefault="00E055F8">
      <w:pPr>
        <w:rPr>
          <w:lang w:val="en-US"/>
        </w:rPr>
      </w:pPr>
    </w:p>
    <w:p w14:paraId="06CAC59A" w14:textId="25F5FEE4" w:rsidR="00E70781" w:rsidRDefault="0053496F">
      <w:pPr>
        <w:rPr>
          <w:lang w:val="en-US"/>
        </w:rPr>
      </w:pPr>
      <w:r w:rsidRPr="0053496F">
        <w:rPr>
          <w:noProof/>
        </w:rPr>
        <w:lastRenderedPageBreak/>
        <w:drawing>
          <wp:inline distT="0" distB="0" distL="0" distR="0" wp14:anchorId="69404712" wp14:editId="6093AF97">
            <wp:extent cx="5731510" cy="1786890"/>
            <wp:effectExtent l="0" t="0" r="254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786890"/>
                    </a:xfrm>
                    <a:prstGeom prst="rect">
                      <a:avLst/>
                    </a:prstGeom>
                  </pic:spPr>
                </pic:pic>
              </a:graphicData>
            </a:graphic>
          </wp:inline>
        </w:drawing>
      </w:r>
    </w:p>
    <w:p w14:paraId="318D47DD" w14:textId="672222B0" w:rsidR="00E70781" w:rsidRDefault="00E70781">
      <w:pPr>
        <w:rPr>
          <w:lang w:val="en-US"/>
        </w:rPr>
      </w:pPr>
    </w:p>
    <w:p w14:paraId="2399B02D" w14:textId="4D734648" w:rsidR="00E70781" w:rsidRDefault="0053496F">
      <w:pPr>
        <w:rPr>
          <w:lang w:val="en-US"/>
        </w:rPr>
      </w:pPr>
      <w:r>
        <w:rPr>
          <w:lang w:val="en-US"/>
        </w:rPr>
        <w:t xml:space="preserve">Now look at the other elements plotted against SiO2 and see if these classifications </w:t>
      </w:r>
      <w:r w:rsidR="00247327">
        <w:rPr>
          <w:lang w:val="en-US"/>
        </w:rPr>
        <w:t>are consistent</w:t>
      </w:r>
      <w:r>
        <w:rPr>
          <w:lang w:val="en-US"/>
        </w:rPr>
        <w:t xml:space="preserve"> on the other diagrams.</w:t>
      </w:r>
    </w:p>
    <w:p w14:paraId="52426B58" w14:textId="4FD1489F" w:rsidR="0053496F" w:rsidRDefault="0053496F">
      <w:pPr>
        <w:rPr>
          <w:lang w:val="en-US"/>
        </w:rPr>
      </w:pPr>
      <w:r w:rsidRPr="0053496F">
        <w:rPr>
          <w:noProof/>
          <w:lang w:val="en-US"/>
        </w:rPr>
        <w:drawing>
          <wp:inline distT="0" distB="0" distL="0" distR="0" wp14:anchorId="2ADBD90D" wp14:editId="31E55A8D">
            <wp:extent cx="5731510" cy="2472055"/>
            <wp:effectExtent l="0" t="0" r="254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472055"/>
                    </a:xfrm>
                    <a:prstGeom prst="rect">
                      <a:avLst/>
                    </a:prstGeom>
                  </pic:spPr>
                </pic:pic>
              </a:graphicData>
            </a:graphic>
          </wp:inline>
        </w:drawing>
      </w:r>
    </w:p>
    <w:p w14:paraId="4ED50E52" w14:textId="2901C50F" w:rsidR="0053496F" w:rsidRDefault="0053496F">
      <w:pPr>
        <w:rPr>
          <w:lang w:val="en-US"/>
        </w:rPr>
      </w:pPr>
      <w:proofErr w:type="spellStart"/>
      <w:r>
        <w:rPr>
          <w:lang w:val="en-US"/>
        </w:rPr>
        <w:t>ioGAS</w:t>
      </w:r>
      <w:proofErr w:type="spellEnd"/>
      <w:r>
        <w:rPr>
          <w:lang w:val="en-US"/>
        </w:rPr>
        <w:t xml:space="preserve"> has many </w:t>
      </w:r>
      <w:r w:rsidR="0083486F">
        <w:rPr>
          <w:lang w:val="en-US"/>
        </w:rPr>
        <w:t>Discrimination</w:t>
      </w:r>
      <w:r>
        <w:rPr>
          <w:lang w:val="en-US"/>
        </w:rPr>
        <w:t xml:space="preserve"> Diagrams that have been documented in the published literature. One diagram very commonly used for mafic-ultramafic rocks is the Jensen Cation plot. To access this</w:t>
      </w:r>
      <w:r w:rsidR="00305BB6">
        <w:rPr>
          <w:lang w:val="en-US"/>
        </w:rPr>
        <w:t xml:space="preserve">, go to Diagram, Rock Classification, Major Elements, Jensen Cation plot. The simple classification we have done so far fits the Jensen plot moderately well. </w:t>
      </w:r>
    </w:p>
    <w:p w14:paraId="53E826B3" w14:textId="593BCA26" w:rsidR="0053496F" w:rsidRDefault="0053496F">
      <w:pPr>
        <w:rPr>
          <w:lang w:val="en-US"/>
        </w:rPr>
      </w:pPr>
      <w:r w:rsidRPr="0053496F">
        <w:rPr>
          <w:noProof/>
        </w:rPr>
        <w:drawing>
          <wp:inline distT="0" distB="0" distL="0" distR="0" wp14:anchorId="5E2B202F" wp14:editId="50DA47F2">
            <wp:extent cx="5731510" cy="1978025"/>
            <wp:effectExtent l="19050" t="19050" r="21590" b="22225"/>
            <wp:docPr id="57" name="Picture 10">
              <a:extLst xmlns:a="http://schemas.openxmlformats.org/drawingml/2006/main">
                <a:ext uri="{FF2B5EF4-FFF2-40B4-BE49-F238E27FC236}">
                  <a16:creationId xmlns:a16="http://schemas.microsoft.com/office/drawing/2014/main" id="{08344975-4133-42DF-8B7E-F9EB5A0C9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8344975-4133-42DF-8B7E-F9EB5A0C9AA1}"/>
                        </a:ext>
                      </a:extLst>
                    </pic:cNvPr>
                    <pic:cNvPicPr>
                      <a:picLocks noChangeAspect="1"/>
                    </pic:cNvPicPr>
                  </pic:nvPicPr>
                  <pic:blipFill rotWithShape="1">
                    <a:blip r:embed="rId19" cstate="hqprint">
                      <a:extLst>
                        <a:ext uri="{28A0092B-C50C-407E-A947-70E740481C1C}">
                          <a14:useLocalDpi xmlns:a14="http://schemas.microsoft.com/office/drawing/2010/main"/>
                        </a:ext>
                      </a:extLst>
                    </a:blip>
                    <a:srcRect/>
                    <a:stretch/>
                  </pic:blipFill>
                  <pic:spPr>
                    <a:xfrm>
                      <a:off x="0" y="0"/>
                      <a:ext cx="5731510" cy="1978025"/>
                    </a:xfrm>
                    <a:prstGeom prst="rect">
                      <a:avLst/>
                    </a:prstGeom>
                    <a:ln>
                      <a:solidFill>
                        <a:schemeClr val="tx1"/>
                      </a:solidFill>
                    </a:ln>
                  </pic:spPr>
                </pic:pic>
              </a:graphicData>
            </a:graphic>
          </wp:inline>
        </w:drawing>
      </w:r>
    </w:p>
    <w:p w14:paraId="65C6F536" w14:textId="24D36C4E" w:rsidR="00305BB6" w:rsidRDefault="00305BB6">
      <w:pPr>
        <w:rPr>
          <w:lang w:val="en-US"/>
        </w:rPr>
      </w:pPr>
    </w:p>
    <w:p w14:paraId="5DEEADAC" w14:textId="00ED80AF" w:rsidR="00305BB6" w:rsidRDefault="00305BB6">
      <w:pPr>
        <w:rPr>
          <w:lang w:val="en-US"/>
        </w:rPr>
      </w:pPr>
      <w:r w:rsidRPr="00305BB6">
        <w:rPr>
          <w:noProof/>
        </w:rPr>
        <w:lastRenderedPageBreak/>
        <w:drawing>
          <wp:inline distT="0" distB="0" distL="0" distR="0" wp14:anchorId="326E7C90" wp14:editId="15C0C4FA">
            <wp:extent cx="5731510" cy="267335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73350"/>
                    </a:xfrm>
                    <a:prstGeom prst="rect">
                      <a:avLst/>
                    </a:prstGeom>
                  </pic:spPr>
                </pic:pic>
              </a:graphicData>
            </a:graphic>
          </wp:inline>
        </w:drawing>
      </w:r>
    </w:p>
    <w:p w14:paraId="41B4942E" w14:textId="3ED475D1" w:rsidR="0053496F" w:rsidRDefault="0053496F">
      <w:pPr>
        <w:rPr>
          <w:lang w:val="en-US"/>
        </w:rPr>
      </w:pPr>
      <w:r>
        <w:rPr>
          <w:lang w:val="en-US"/>
        </w:rPr>
        <w:t xml:space="preserve"> </w:t>
      </w:r>
    </w:p>
    <w:p w14:paraId="6CF43D44" w14:textId="31C4DEDA" w:rsidR="00165FE7" w:rsidRDefault="0053496F" w:rsidP="00305BB6">
      <w:pPr>
        <w:rPr>
          <w:lang w:val="en-US"/>
        </w:rPr>
      </w:pPr>
      <w:r>
        <w:rPr>
          <w:lang w:val="en-US"/>
        </w:rPr>
        <w:t xml:space="preserve">If we were </w:t>
      </w:r>
      <w:r w:rsidR="00305BB6">
        <w:rPr>
          <w:lang w:val="en-US"/>
        </w:rPr>
        <w:t xml:space="preserve">classifying these rocks using 4 acid digest analyses, we would not have SiO2 analyses. In addition, both SiO2 and Mg would be unreliable in altered rocks as they are mobile in hydrothermal environments. For a 4 acid digest suite, I would start by selecting Sc, Cr, Mg, Al and Zr. Plot these as </w:t>
      </w:r>
      <w:proofErr w:type="spellStart"/>
      <w:r w:rsidR="00305BB6">
        <w:rPr>
          <w:lang w:val="en-US"/>
        </w:rPr>
        <w:t>Yx</w:t>
      </w:r>
      <w:proofErr w:type="spellEnd"/>
      <w:r w:rsidR="00305BB6">
        <w:rPr>
          <w:lang w:val="en-US"/>
        </w:rPr>
        <w:t xml:space="preserve"> scatterplots. </w:t>
      </w:r>
      <w:r w:rsidR="003B41DF">
        <w:rPr>
          <w:lang w:val="en-US"/>
        </w:rPr>
        <w:t xml:space="preserve"> Sc is highly correlated with the silicate-hosted component of Fe. As a rule, basalt typically has 30 to 50ppm Sc, andesite 20 to 30ppm, dacite 10 to 20, and rhyolite 0 to 10ppm. Ultramafics have less Sc as they have lower Fe; anywhere from 2 to 20ppm. </w:t>
      </w:r>
    </w:p>
    <w:p w14:paraId="6E3EB021" w14:textId="32F6870F" w:rsidR="003B41DF" w:rsidRDefault="00305BB6">
      <w:pPr>
        <w:rPr>
          <w:lang w:val="en-US"/>
        </w:rPr>
      </w:pPr>
      <w:r w:rsidRPr="00305BB6">
        <w:rPr>
          <w:noProof/>
        </w:rPr>
        <w:drawing>
          <wp:inline distT="0" distB="0" distL="0" distR="0" wp14:anchorId="74CFEDD0" wp14:editId="2F24D470">
            <wp:extent cx="5731510" cy="2661920"/>
            <wp:effectExtent l="0" t="0" r="254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661920"/>
                    </a:xfrm>
                    <a:prstGeom prst="rect">
                      <a:avLst/>
                    </a:prstGeom>
                  </pic:spPr>
                </pic:pic>
              </a:graphicData>
            </a:graphic>
          </wp:inline>
        </w:drawing>
      </w:r>
    </w:p>
    <w:p w14:paraId="103D29CD" w14:textId="5720A6A5" w:rsidR="001C1053" w:rsidRDefault="001C1053">
      <w:pPr>
        <w:rPr>
          <w:lang w:val="en-US"/>
        </w:rPr>
      </w:pPr>
      <w:r>
        <w:rPr>
          <w:lang w:val="en-US"/>
        </w:rPr>
        <w:t>Cr is a good indicator of ultramafic rocks, and it is far less mobile than Mg. 1000ppm Cr is usually close to the cut-off for ultramafic rocks. Note also that ultramafic rocks will also have low Zr (&lt;50ppm) and low Al (because they have lots of olivine and pyroxene but not so much plagioclase).</w:t>
      </w:r>
      <w:r w:rsidR="000B353C">
        <w:rPr>
          <w:lang w:val="en-US"/>
        </w:rPr>
        <w:t xml:space="preserve"> Use the Sc vs Cr, Mg, Al and Zr plots to validate the classification of mafic and ultramafic rocks; </w:t>
      </w:r>
      <w:proofErr w:type="spellStart"/>
      <w:r w:rsidR="000B353C">
        <w:rPr>
          <w:lang w:val="en-US"/>
        </w:rPr>
        <w:t>eg</w:t>
      </w:r>
      <w:proofErr w:type="spellEnd"/>
      <w:r w:rsidR="000B353C">
        <w:rPr>
          <w:lang w:val="en-US"/>
        </w:rPr>
        <w:t xml:space="preserve"> make sure you are not </w:t>
      </w:r>
      <w:r w:rsidR="00013591">
        <w:rPr>
          <w:lang w:val="en-US"/>
        </w:rPr>
        <w:t xml:space="preserve">assigning rocks with high Al and/or Zr to the </w:t>
      </w:r>
      <w:r w:rsidR="000B353C">
        <w:rPr>
          <w:lang w:val="en-US"/>
        </w:rPr>
        <w:t xml:space="preserve">ultramafic </w:t>
      </w:r>
      <w:r w:rsidR="00013591">
        <w:rPr>
          <w:lang w:val="en-US"/>
        </w:rPr>
        <w:t xml:space="preserve">group. </w:t>
      </w:r>
      <w:r w:rsidR="000B353C">
        <w:rPr>
          <w:lang w:val="en-US"/>
        </w:rPr>
        <w:t xml:space="preserve"> Where needed, you can go to the attribute manager, activate the Default </w:t>
      </w:r>
      <w:proofErr w:type="spellStart"/>
      <w:r w:rsidR="000B353C">
        <w:rPr>
          <w:lang w:val="en-US"/>
        </w:rPr>
        <w:t>Colour</w:t>
      </w:r>
      <w:proofErr w:type="spellEnd"/>
      <w:r w:rsidR="000B353C">
        <w:rPr>
          <w:lang w:val="en-US"/>
        </w:rPr>
        <w:t xml:space="preserve"> (black group) and use the polygon select tool to move green or purple points back to this group. </w:t>
      </w:r>
    </w:p>
    <w:p w14:paraId="6BCA5021" w14:textId="567686CB" w:rsidR="000536B3" w:rsidRDefault="000536B3">
      <w:pPr>
        <w:rPr>
          <w:lang w:val="en-US"/>
        </w:rPr>
      </w:pPr>
      <w:r w:rsidRPr="000536B3">
        <w:rPr>
          <w:noProof/>
        </w:rPr>
        <w:lastRenderedPageBreak/>
        <w:drawing>
          <wp:inline distT="0" distB="0" distL="0" distR="0" wp14:anchorId="4C8C1E41" wp14:editId="2B7A728E">
            <wp:extent cx="5731510" cy="1801495"/>
            <wp:effectExtent l="0" t="0" r="254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801495"/>
                    </a:xfrm>
                    <a:prstGeom prst="rect">
                      <a:avLst/>
                    </a:prstGeom>
                  </pic:spPr>
                </pic:pic>
              </a:graphicData>
            </a:graphic>
          </wp:inline>
        </w:drawing>
      </w:r>
    </w:p>
    <w:p w14:paraId="1C1E09FE" w14:textId="22EBD772" w:rsidR="000536B3" w:rsidRDefault="000536B3">
      <w:pPr>
        <w:rPr>
          <w:lang w:val="en-US"/>
        </w:rPr>
      </w:pPr>
      <w:r>
        <w:rPr>
          <w:lang w:val="en-US"/>
        </w:rPr>
        <w:t xml:space="preserve">Create a single plot of Sc versus Cr. Among the ultramafic rocks, there is a very clear linear trend of Sc positively correlated with Cr. The data points in this trend are komatiites. Create a new </w:t>
      </w:r>
      <w:proofErr w:type="spellStart"/>
      <w:r>
        <w:rPr>
          <w:lang w:val="en-US"/>
        </w:rPr>
        <w:t>colour</w:t>
      </w:r>
      <w:proofErr w:type="spellEnd"/>
      <w:r>
        <w:rPr>
          <w:lang w:val="en-US"/>
        </w:rPr>
        <w:t xml:space="preserve"> group (another shade of purple) and select this komatiite trend.</w:t>
      </w:r>
    </w:p>
    <w:p w14:paraId="4CB4F4AC" w14:textId="33F03F94" w:rsidR="000536B3" w:rsidRDefault="000536B3">
      <w:pPr>
        <w:rPr>
          <w:lang w:val="en-US"/>
        </w:rPr>
      </w:pPr>
    </w:p>
    <w:p w14:paraId="3F43AB6F" w14:textId="4B8D4A2F" w:rsidR="000536B3" w:rsidRDefault="000536B3">
      <w:pPr>
        <w:rPr>
          <w:lang w:val="en-US"/>
        </w:rPr>
      </w:pPr>
      <w:r>
        <w:rPr>
          <w:lang w:val="en-US"/>
        </w:rPr>
        <w:t xml:space="preserve">In the attribute manager, use the visibility tick to turn off all the data points except the komatiites. Go to the list of variables. Select Fe, Mg, Sc, Cr, Cu, Zn, Mn. </w:t>
      </w:r>
      <w:r w:rsidR="008D3F0C">
        <w:rPr>
          <w:lang w:val="en-US"/>
        </w:rPr>
        <w:t xml:space="preserve">Create a set of </w:t>
      </w:r>
      <w:proofErr w:type="spellStart"/>
      <w:r w:rsidR="008D3F0C">
        <w:rPr>
          <w:lang w:val="en-US"/>
        </w:rPr>
        <w:t>Xy</w:t>
      </w:r>
      <w:proofErr w:type="spellEnd"/>
      <w:r w:rsidR="008D3F0C">
        <w:rPr>
          <w:lang w:val="en-US"/>
        </w:rPr>
        <w:t xml:space="preserve"> plots. Notice that as the Fe content increases, Mg decreases, but all the other first row transition metals have a positive linear correlation with Fe. </w:t>
      </w:r>
    </w:p>
    <w:p w14:paraId="128FE702" w14:textId="0BC854F4" w:rsidR="008D3F0C" w:rsidRDefault="008D3F0C">
      <w:pPr>
        <w:rPr>
          <w:lang w:val="en-US"/>
        </w:rPr>
      </w:pPr>
      <w:r w:rsidRPr="008D3F0C">
        <w:rPr>
          <w:noProof/>
          <w:lang w:val="en-US"/>
        </w:rPr>
        <w:drawing>
          <wp:inline distT="0" distB="0" distL="0" distR="0" wp14:anchorId="4C24DF60" wp14:editId="44F2CCDE">
            <wp:extent cx="5731510" cy="2472055"/>
            <wp:effectExtent l="0" t="0" r="254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472055"/>
                    </a:xfrm>
                    <a:prstGeom prst="rect">
                      <a:avLst/>
                    </a:prstGeom>
                  </pic:spPr>
                </pic:pic>
              </a:graphicData>
            </a:graphic>
          </wp:inline>
        </w:drawing>
      </w:r>
    </w:p>
    <w:p w14:paraId="1F6FC8B8" w14:textId="07E8AA17" w:rsidR="008D3F0C" w:rsidRDefault="008D3F0C">
      <w:pPr>
        <w:rPr>
          <w:lang w:val="en-US"/>
        </w:rPr>
      </w:pPr>
      <w:r>
        <w:rPr>
          <w:lang w:val="en-US"/>
        </w:rPr>
        <w:t xml:space="preserve">The linear Sc vs Cr trend in the komatiites is tracking the olivine compositions. The low Fe komatiites are Mg rich and contain a very forsterite-rich olivine with little plagioclase. </w:t>
      </w:r>
      <w:r w:rsidR="00F220B7">
        <w:rPr>
          <w:lang w:val="en-US"/>
        </w:rPr>
        <w:t xml:space="preserve">These plots illustrate an important point. Most of the first row transition metals including </w:t>
      </w:r>
      <w:r>
        <w:rPr>
          <w:lang w:val="en-US"/>
        </w:rPr>
        <w:t>Sc, Cr, Cu, Zn</w:t>
      </w:r>
      <w:r w:rsidR="00F220B7">
        <w:rPr>
          <w:lang w:val="en-US"/>
        </w:rPr>
        <w:t xml:space="preserve"> and</w:t>
      </w:r>
      <w:r>
        <w:rPr>
          <w:lang w:val="en-US"/>
        </w:rPr>
        <w:t xml:space="preserve"> Mn</w:t>
      </w:r>
      <w:r w:rsidR="00F220B7">
        <w:rPr>
          <w:lang w:val="en-US"/>
        </w:rPr>
        <w:t xml:space="preserve">, </w:t>
      </w:r>
      <w:r>
        <w:rPr>
          <w:lang w:val="en-US"/>
        </w:rPr>
        <w:t>substitute for Fe in olivines</w:t>
      </w:r>
      <w:r w:rsidR="00F220B7">
        <w:rPr>
          <w:lang w:val="en-US"/>
        </w:rPr>
        <w:t xml:space="preserve"> and other magmatic Fe-Mg silicates. A</w:t>
      </w:r>
      <w:r>
        <w:rPr>
          <w:lang w:val="en-US"/>
        </w:rPr>
        <w:t xml:space="preserve">s the olivines become more fayalite rich (and the plagioclase content increases), so to do the first-row transition metals increase. </w:t>
      </w:r>
      <w:r w:rsidR="00697C1D">
        <w:rPr>
          <w:lang w:val="en-US"/>
        </w:rPr>
        <w:t>(It is interesting that many of the komatiites are depleted in Cu.</w:t>
      </w:r>
      <w:r w:rsidR="00F220B7">
        <w:rPr>
          <w:lang w:val="en-US"/>
        </w:rPr>
        <w:t xml:space="preserve"> This might be indicating potential for sulfides stripping Cu from the melt</w:t>
      </w:r>
      <w:r w:rsidR="00697C1D">
        <w:rPr>
          <w:lang w:val="en-US"/>
        </w:rPr>
        <w:t>)</w:t>
      </w:r>
      <w:r w:rsidR="00F220B7">
        <w:rPr>
          <w:lang w:val="en-US"/>
        </w:rPr>
        <w:t>.</w:t>
      </w:r>
      <w:r w:rsidR="00697C1D">
        <w:rPr>
          <w:lang w:val="en-US"/>
        </w:rPr>
        <w:t xml:space="preserve"> </w:t>
      </w:r>
      <w:r>
        <w:rPr>
          <w:lang w:val="en-US"/>
        </w:rPr>
        <w:t>The Sc vs Cr plot shows that there is a very predictable amount of Cr contained within olivine. Samples that plot above that linear Sc vs Cr trend must contain an extra Cr mineral. Those samples contain chromite!</w:t>
      </w:r>
      <w:r w:rsidR="00F77A78">
        <w:rPr>
          <w:lang w:val="en-US"/>
        </w:rPr>
        <w:t xml:space="preserve"> </w:t>
      </w:r>
    </w:p>
    <w:p w14:paraId="5408CFBC" w14:textId="77777777" w:rsidR="00697C1D" w:rsidRDefault="00697C1D">
      <w:pPr>
        <w:rPr>
          <w:lang w:val="en-US"/>
        </w:rPr>
      </w:pPr>
    </w:p>
    <w:p w14:paraId="6116110E" w14:textId="75C9F623" w:rsidR="008D3F0C" w:rsidRDefault="0039488B">
      <w:pPr>
        <w:rPr>
          <w:lang w:val="en-US"/>
        </w:rPr>
      </w:pPr>
      <w:r w:rsidRPr="0039488B">
        <w:rPr>
          <w:noProof/>
        </w:rPr>
        <w:lastRenderedPageBreak/>
        <w:drawing>
          <wp:inline distT="0" distB="0" distL="0" distR="0" wp14:anchorId="5FF4993E" wp14:editId="3EDA5EE1">
            <wp:extent cx="5731510" cy="35737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573780"/>
                    </a:xfrm>
                    <a:prstGeom prst="rect">
                      <a:avLst/>
                    </a:prstGeom>
                  </pic:spPr>
                </pic:pic>
              </a:graphicData>
            </a:graphic>
          </wp:inline>
        </w:drawing>
      </w:r>
    </w:p>
    <w:p w14:paraId="65BA0F82" w14:textId="4C709C96" w:rsidR="00CD29DA" w:rsidRDefault="00CD29DA">
      <w:pPr>
        <w:rPr>
          <w:lang w:val="en-US"/>
        </w:rPr>
      </w:pPr>
      <w:r w:rsidRPr="00CD29DA">
        <w:rPr>
          <w:noProof/>
        </w:rPr>
        <w:drawing>
          <wp:inline distT="0" distB="0" distL="0" distR="0" wp14:anchorId="3C0752E5" wp14:editId="5FC9BFCF">
            <wp:extent cx="3744000" cy="2334506"/>
            <wp:effectExtent l="0" t="0" r="889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44000" cy="2334506"/>
                    </a:xfrm>
                    <a:prstGeom prst="rect">
                      <a:avLst/>
                    </a:prstGeom>
                  </pic:spPr>
                </pic:pic>
              </a:graphicData>
            </a:graphic>
          </wp:inline>
        </w:drawing>
      </w:r>
    </w:p>
    <w:p w14:paraId="1733FA7D" w14:textId="36E63708" w:rsidR="00697C1D" w:rsidRDefault="00697C1D">
      <w:pPr>
        <w:rPr>
          <w:lang w:val="en-US"/>
        </w:rPr>
      </w:pPr>
      <w:r>
        <w:rPr>
          <w:lang w:val="en-US"/>
        </w:rPr>
        <w:t xml:space="preserve">In the Attribute Manager, create 2 new </w:t>
      </w:r>
      <w:proofErr w:type="spellStart"/>
      <w:r>
        <w:rPr>
          <w:lang w:val="en-US"/>
        </w:rPr>
        <w:t>colour</w:t>
      </w:r>
      <w:proofErr w:type="spellEnd"/>
      <w:r>
        <w:rPr>
          <w:lang w:val="en-US"/>
        </w:rPr>
        <w:t xml:space="preserve"> groups, one for the high Cr rocks and another for basaltic komatiites. Assign these </w:t>
      </w:r>
      <w:proofErr w:type="spellStart"/>
      <w:r>
        <w:rPr>
          <w:lang w:val="en-US"/>
        </w:rPr>
        <w:t>colour</w:t>
      </w:r>
      <w:proofErr w:type="spellEnd"/>
      <w:r>
        <w:rPr>
          <w:lang w:val="en-US"/>
        </w:rPr>
        <w:t xml:space="preserve"> groups as shown on the Sc vs Cr plot above. </w:t>
      </w:r>
    </w:p>
    <w:p w14:paraId="277674CE" w14:textId="38DA0892" w:rsidR="00CD29DA" w:rsidRDefault="00190E2E">
      <w:pPr>
        <w:rPr>
          <w:lang w:val="en-US"/>
        </w:rPr>
      </w:pPr>
      <w:r w:rsidRPr="00190E2E">
        <w:rPr>
          <w:noProof/>
        </w:rPr>
        <w:lastRenderedPageBreak/>
        <w:drawing>
          <wp:inline distT="0" distB="0" distL="0" distR="0" wp14:anchorId="4ECF1292" wp14:editId="39779851">
            <wp:extent cx="4320000" cy="3292887"/>
            <wp:effectExtent l="0" t="0" r="444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3292887"/>
                    </a:xfrm>
                    <a:prstGeom prst="rect">
                      <a:avLst/>
                    </a:prstGeom>
                  </pic:spPr>
                </pic:pic>
              </a:graphicData>
            </a:graphic>
          </wp:inline>
        </w:drawing>
      </w:r>
    </w:p>
    <w:p w14:paraId="1F879AA3" w14:textId="17DD5D41" w:rsidR="00697C1D" w:rsidRDefault="00697C1D">
      <w:pPr>
        <w:rPr>
          <w:lang w:val="en-US"/>
        </w:rPr>
      </w:pPr>
      <w:r>
        <w:rPr>
          <w:lang w:val="en-US"/>
        </w:rPr>
        <w:t>Now go back to the Jensen Cation plot and see where the Cr pyroxenite group and the basaltic komatiite group plot. Note that the Cr pyroxenite mostly plots with a higher Fe content (actually</w:t>
      </w:r>
      <w:r w:rsidR="00247327">
        <w:rPr>
          <w:lang w:val="en-US"/>
        </w:rPr>
        <w:t>,</w:t>
      </w:r>
      <w:r>
        <w:rPr>
          <w:lang w:val="en-US"/>
        </w:rPr>
        <w:t xml:space="preserve"> higher Fe/(</w:t>
      </w:r>
      <w:proofErr w:type="spellStart"/>
      <w:r>
        <w:rPr>
          <w:lang w:val="en-US"/>
        </w:rPr>
        <w:t>Fe+Mg</w:t>
      </w:r>
      <w:proofErr w:type="spellEnd"/>
      <w:r>
        <w:rPr>
          <w:lang w:val="en-US"/>
        </w:rPr>
        <w:t xml:space="preserve">) ratio) than the trend of the komatiites. </w:t>
      </w:r>
      <w:r w:rsidR="009F5284">
        <w:rPr>
          <w:lang w:val="en-US"/>
        </w:rPr>
        <w:t xml:space="preserve">Among the basalts, it is also apparent that </w:t>
      </w:r>
      <w:r>
        <w:rPr>
          <w:lang w:val="en-US"/>
        </w:rPr>
        <w:t>higher Cr equates to higher Mg, and this differentiates the basaltic komatiite from tholeiitic basalts.</w:t>
      </w:r>
    </w:p>
    <w:p w14:paraId="53387404" w14:textId="268490EF" w:rsidR="00BB6FE0" w:rsidRPr="00E75E8F" w:rsidRDefault="00467E58">
      <w:pPr>
        <w:rPr>
          <w:b/>
          <w:bCs/>
          <w:color w:val="FF0000"/>
          <w:sz w:val="32"/>
          <w:szCs w:val="32"/>
          <w:lang w:val="en-US"/>
        </w:rPr>
      </w:pPr>
      <w:r w:rsidRPr="00E75E8F">
        <w:rPr>
          <w:b/>
          <w:bCs/>
          <w:color w:val="FF0000"/>
          <w:sz w:val="32"/>
          <w:szCs w:val="32"/>
          <w:lang w:val="en-US"/>
        </w:rPr>
        <w:t>Save a checkpoint.</w:t>
      </w:r>
    </w:p>
    <w:p w14:paraId="32FCD41E" w14:textId="72CB6777" w:rsidR="00811A77" w:rsidRDefault="00811A77">
      <w:pPr>
        <w:rPr>
          <w:lang w:val="en-US"/>
        </w:rPr>
      </w:pPr>
      <w:r>
        <w:rPr>
          <w:lang w:val="en-US"/>
        </w:rPr>
        <w:t xml:space="preserve">Go back to the Select Variables button. Turn off the previous selection of elements. Now select Sc, Th, </w:t>
      </w:r>
      <w:proofErr w:type="spellStart"/>
      <w:r>
        <w:rPr>
          <w:lang w:val="en-US"/>
        </w:rPr>
        <w:t>Ti</w:t>
      </w:r>
      <w:proofErr w:type="spellEnd"/>
      <w:r>
        <w:rPr>
          <w:lang w:val="en-US"/>
        </w:rPr>
        <w:t>, V, Zr, Nb and P. Click OK.</w:t>
      </w:r>
    </w:p>
    <w:p w14:paraId="6195046F" w14:textId="77777777" w:rsidR="00811A77" w:rsidRDefault="00811A77">
      <w:pPr>
        <w:rPr>
          <w:lang w:val="en-US"/>
        </w:rPr>
      </w:pPr>
    </w:p>
    <w:p w14:paraId="73C085F1" w14:textId="77777777" w:rsidR="00811A77" w:rsidRDefault="00811A77">
      <w:pPr>
        <w:rPr>
          <w:lang w:val="en-US"/>
        </w:rPr>
      </w:pPr>
    </w:p>
    <w:p w14:paraId="7BE0B461" w14:textId="5D2060C5" w:rsidR="001C1053" w:rsidRDefault="00811A77">
      <w:pPr>
        <w:rPr>
          <w:lang w:val="en-US"/>
        </w:rPr>
      </w:pPr>
      <w:r w:rsidRPr="00811A77">
        <w:t xml:space="preserve"> </w:t>
      </w:r>
      <w:r w:rsidR="00CC54C4">
        <w:rPr>
          <w:noProof/>
        </w:rPr>
        <w:drawing>
          <wp:inline distT="0" distB="0" distL="0" distR="0" wp14:anchorId="3E2D54AF" wp14:editId="123C2678">
            <wp:extent cx="2160000" cy="228300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283005"/>
                    </a:xfrm>
                    <a:prstGeom prst="rect">
                      <a:avLst/>
                    </a:prstGeom>
                  </pic:spPr>
                </pic:pic>
              </a:graphicData>
            </a:graphic>
          </wp:inline>
        </w:drawing>
      </w:r>
      <w:r>
        <w:rPr>
          <w:lang w:val="en-US"/>
        </w:rPr>
        <w:t xml:space="preserve"> </w:t>
      </w:r>
    </w:p>
    <w:p w14:paraId="5328966C" w14:textId="571FA09F" w:rsidR="00811A77" w:rsidRDefault="00811A77">
      <w:pPr>
        <w:rPr>
          <w:lang w:val="en-US"/>
        </w:rPr>
      </w:pPr>
    </w:p>
    <w:p w14:paraId="7361E979" w14:textId="3A1D92A5" w:rsidR="00811A77" w:rsidRDefault="00811A77">
      <w:pPr>
        <w:rPr>
          <w:lang w:val="en-US"/>
        </w:rPr>
      </w:pPr>
      <w:r>
        <w:rPr>
          <w:lang w:val="en-US"/>
        </w:rPr>
        <w:t xml:space="preserve">Create </w:t>
      </w:r>
      <w:proofErr w:type="spellStart"/>
      <w:r>
        <w:rPr>
          <w:lang w:val="en-US"/>
        </w:rPr>
        <w:t>Yx</w:t>
      </w:r>
      <w:proofErr w:type="spellEnd"/>
      <w:r>
        <w:rPr>
          <w:lang w:val="en-US"/>
        </w:rPr>
        <w:t xml:space="preserve"> scatterplots with Sc on the Y axis.</w:t>
      </w:r>
    </w:p>
    <w:p w14:paraId="1B8FA20E" w14:textId="506842AD" w:rsidR="00811A77" w:rsidRDefault="00CC54C4">
      <w:pPr>
        <w:rPr>
          <w:lang w:val="en-US"/>
        </w:rPr>
      </w:pPr>
      <w:r w:rsidRPr="00CC54C4">
        <w:rPr>
          <w:noProof/>
          <w:lang w:val="en-US"/>
        </w:rPr>
        <w:lastRenderedPageBreak/>
        <w:drawing>
          <wp:inline distT="0" distB="0" distL="0" distR="0" wp14:anchorId="4AD2D84A" wp14:editId="17D36F9F">
            <wp:extent cx="5731510" cy="24720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472055"/>
                    </a:xfrm>
                    <a:prstGeom prst="rect">
                      <a:avLst/>
                    </a:prstGeom>
                  </pic:spPr>
                </pic:pic>
              </a:graphicData>
            </a:graphic>
          </wp:inline>
        </w:drawing>
      </w:r>
    </w:p>
    <w:p w14:paraId="46F8E416" w14:textId="4DE72A5A" w:rsidR="00811A77" w:rsidRDefault="00811A77">
      <w:pPr>
        <w:rPr>
          <w:lang w:val="en-US"/>
        </w:rPr>
      </w:pPr>
      <w:r>
        <w:rPr>
          <w:lang w:val="en-US"/>
        </w:rPr>
        <w:t xml:space="preserve">In the Attribute Manager, use the Visibility tick box to turn </w:t>
      </w:r>
      <w:r w:rsidR="005945DC">
        <w:rPr>
          <w:lang w:val="en-US"/>
        </w:rPr>
        <w:t>on just</w:t>
      </w:r>
      <w:r w:rsidR="00F916A9">
        <w:rPr>
          <w:lang w:val="en-US"/>
        </w:rPr>
        <w:t xml:space="preserve"> the mafic and Default </w:t>
      </w:r>
      <w:proofErr w:type="spellStart"/>
      <w:r w:rsidR="00F916A9">
        <w:rPr>
          <w:lang w:val="en-US"/>
        </w:rPr>
        <w:t>colours</w:t>
      </w:r>
      <w:proofErr w:type="spellEnd"/>
      <w:r w:rsidR="004E605A">
        <w:rPr>
          <w:lang w:val="en-US"/>
        </w:rPr>
        <w:t>.</w:t>
      </w:r>
      <w:r w:rsidR="00F916A9">
        <w:rPr>
          <w:lang w:val="en-US"/>
        </w:rPr>
        <w:t xml:space="preserve"> Check to see if any of your data points are misclassified; </w:t>
      </w:r>
      <w:proofErr w:type="spellStart"/>
      <w:r w:rsidR="00F916A9">
        <w:rPr>
          <w:lang w:val="en-US"/>
        </w:rPr>
        <w:t>ie</w:t>
      </w:r>
      <w:proofErr w:type="spellEnd"/>
      <w:r w:rsidR="00F916A9">
        <w:rPr>
          <w:lang w:val="en-US"/>
        </w:rPr>
        <w:t xml:space="preserve"> green points plotting within a cluster of black points, or vice versa. You will need to consider more than one scatterplot. In this case, the Sc vs Zr and Sc vs </w:t>
      </w:r>
      <w:proofErr w:type="spellStart"/>
      <w:r w:rsidR="00F916A9">
        <w:rPr>
          <w:lang w:val="en-US"/>
        </w:rPr>
        <w:t>Ti</w:t>
      </w:r>
      <w:proofErr w:type="spellEnd"/>
      <w:r w:rsidR="00F916A9">
        <w:rPr>
          <w:lang w:val="en-US"/>
        </w:rPr>
        <w:t xml:space="preserve"> plots are probably the most informative.</w:t>
      </w:r>
    </w:p>
    <w:p w14:paraId="17D542D1" w14:textId="3EC1FC13" w:rsidR="00F916A9" w:rsidRDefault="00F916A9">
      <w:pPr>
        <w:rPr>
          <w:lang w:val="en-US"/>
        </w:rPr>
      </w:pPr>
      <w:r w:rsidRPr="00F916A9">
        <w:rPr>
          <w:noProof/>
          <w:lang w:val="en-US"/>
        </w:rPr>
        <w:drawing>
          <wp:inline distT="0" distB="0" distL="0" distR="0" wp14:anchorId="05580FB2" wp14:editId="578185CA">
            <wp:extent cx="5731510" cy="2472055"/>
            <wp:effectExtent l="0" t="0" r="254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472055"/>
                    </a:xfrm>
                    <a:prstGeom prst="rect">
                      <a:avLst/>
                    </a:prstGeom>
                  </pic:spPr>
                </pic:pic>
              </a:graphicData>
            </a:graphic>
          </wp:inline>
        </w:drawing>
      </w:r>
    </w:p>
    <w:p w14:paraId="32F045B6" w14:textId="77777777" w:rsidR="006505E2" w:rsidRDefault="006505E2">
      <w:pPr>
        <w:rPr>
          <w:lang w:val="en-US"/>
        </w:rPr>
      </w:pPr>
    </w:p>
    <w:p w14:paraId="358E9B3C" w14:textId="7D782C92" w:rsidR="004E605A" w:rsidRDefault="006505E2">
      <w:pPr>
        <w:rPr>
          <w:noProof/>
        </w:rPr>
      </w:pPr>
      <w:r w:rsidRPr="006505E2">
        <w:rPr>
          <w:noProof/>
        </w:rPr>
        <w:drawing>
          <wp:inline distT="0" distB="0" distL="0" distR="0" wp14:anchorId="0652E9E8" wp14:editId="17ED0DAE">
            <wp:extent cx="5731510" cy="1787525"/>
            <wp:effectExtent l="0" t="0" r="254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787525"/>
                    </a:xfrm>
                    <a:prstGeom prst="rect">
                      <a:avLst/>
                    </a:prstGeom>
                  </pic:spPr>
                </pic:pic>
              </a:graphicData>
            </a:graphic>
          </wp:inline>
        </w:drawing>
      </w:r>
    </w:p>
    <w:p w14:paraId="6D9A998D" w14:textId="51F829C4" w:rsidR="00ED2922" w:rsidRDefault="00ED2922">
      <w:pPr>
        <w:rPr>
          <w:lang w:val="en-US"/>
        </w:rPr>
      </w:pPr>
    </w:p>
    <w:p w14:paraId="253C4CBC" w14:textId="06A25553" w:rsidR="00ED2922" w:rsidRDefault="0049118F">
      <w:pPr>
        <w:rPr>
          <w:lang w:val="en-US"/>
        </w:rPr>
      </w:pPr>
      <w:r>
        <w:rPr>
          <w:lang w:val="en-US"/>
        </w:rPr>
        <w:t>Plot Sc versus V. Among the mafic rocks there are a few samples with very high V and a few that are strongly depleted. This pattern is due to magnetite fractionation i</w:t>
      </w:r>
      <w:r w:rsidR="00CE0E6A">
        <w:rPr>
          <w:lang w:val="en-US"/>
        </w:rPr>
        <w:t xml:space="preserve">n dolerite sills. The most common </w:t>
      </w:r>
      <w:r w:rsidR="00CE0E6A">
        <w:rPr>
          <w:lang w:val="en-US"/>
        </w:rPr>
        <w:lastRenderedPageBreak/>
        <w:t xml:space="preserve">oxide mineral in </w:t>
      </w:r>
      <w:r w:rsidR="005945DC">
        <w:rPr>
          <w:lang w:val="en-US"/>
        </w:rPr>
        <w:t>Archean</w:t>
      </w:r>
      <w:r w:rsidR="00CE0E6A">
        <w:rPr>
          <w:lang w:val="en-US"/>
        </w:rPr>
        <w:t xml:space="preserve"> basalts is ilmenite, but in fractionated sills, this switches to magnetite. Magnetite is a strongly preferred host mineral for V. As soon as magnetite begins to crystallize, it takes up all the V from the melt. The first-crystallized magnetite results in a spike in the V content, but the remaining melt rapidly runs out of V. If there were more samples from these dolerite units, we would see a continuous evolution following the red curve. </w:t>
      </w:r>
    </w:p>
    <w:p w14:paraId="4B0E3D5F" w14:textId="2B8BB573" w:rsidR="00CC42DA" w:rsidRDefault="00CE0E6A">
      <w:pPr>
        <w:rPr>
          <w:lang w:val="en-US"/>
        </w:rPr>
      </w:pPr>
      <w:r>
        <w:rPr>
          <w:lang w:val="en-US"/>
        </w:rPr>
        <w:t xml:space="preserve">Go back to Select Variables. Keep the same list of elements, but move </w:t>
      </w:r>
      <w:proofErr w:type="spellStart"/>
      <w:r>
        <w:rPr>
          <w:lang w:val="en-US"/>
        </w:rPr>
        <w:t>Ti</w:t>
      </w:r>
      <w:proofErr w:type="spellEnd"/>
      <w:r>
        <w:rPr>
          <w:lang w:val="en-US"/>
        </w:rPr>
        <w:t xml:space="preserve"> to the top of the list. Make a set of </w:t>
      </w:r>
      <w:proofErr w:type="spellStart"/>
      <w:r>
        <w:rPr>
          <w:lang w:val="en-US"/>
        </w:rPr>
        <w:t>Yx</w:t>
      </w:r>
      <w:proofErr w:type="spellEnd"/>
      <w:r>
        <w:rPr>
          <w:lang w:val="en-US"/>
        </w:rPr>
        <w:t xml:space="preserve"> plots. Turn off</w:t>
      </w:r>
      <w:r w:rsidR="00374077">
        <w:rPr>
          <w:lang w:val="en-US"/>
        </w:rPr>
        <w:t xml:space="preserve"> the unassigned black points and just consider the basalts. </w:t>
      </w:r>
      <w:r w:rsidR="00CC42DA">
        <w:rPr>
          <w:lang w:val="en-US"/>
        </w:rPr>
        <w:t xml:space="preserve">Take </w:t>
      </w:r>
      <w:r w:rsidR="00FF37F2">
        <w:rPr>
          <w:lang w:val="en-US"/>
        </w:rPr>
        <w:t>note</w:t>
      </w:r>
      <w:r w:rsidR="00CC42DA">
        <w:rPr>
          <w:lang w:val="en-US"/>
        </w:rPr>
        <w:t xml:space="preserve"> of the </w:t>
      </w:r>
      <w:proofErr w:type="spellStart"/>
      <w:r w:rsidR="00CC42DA">
        <w:rPr>
          <w:lang w:val="en-US"/>
        </w:rPr>
        <w:t>Ti</w:t>
      </w:r>
      <w:proofErr w:type="spellEnd"/>
      <w:r w:rsidR="00CC42DA">
        <w:rPr>
          <w:lang w:val="en-US"/>
        </w:rPr>
        <w:t xml:space="preserve"> versus Th plot. Note there are 3 linear trends in this data. In the Kalgoorlie domain, these are the </w:t>
      </w:r>
      <w:proofErr w:type="spellStart"/>
      <w:r w:rsidR="00CC42DA">
        <w:rPr>
          <w:lang w:val="en-US"/>
        </w:rPr>
        <w:t>Lunnon</w:t>
      </w:r>
      <w:proofErr w:type="spellEnd"/>
      <w:r w:rsidR="00CC42DA">
        <w:rPr>
          <w:lang w:val="en-US"/>
        </w:rPr>
        <w:t xml:space="preserve"> Basalt, the Devon </w:t>
      </w:r>
      <w:proofErr w:type="spellStart"/>
      <w:r w:rsidR="00CC42DA">
        <w:rPr>
          <w:lang w:val="en-US"/>
        </w:rPr>
        <w:t>Consols</w:t>
      </w:r>
      <w:proofErr w:type="spellEnd"/>
      <w:r w:rsidR="00CC42DA">
        <w:rPr>
          <w:lang w:val="en-US"/>
        </w:rPr>
        <w:t xml:space="preserve"> Basalt and the </w:t>
      </w:r>
      <w:proofErr w:type="spellStart"/>
      <w:r w:rsidR="00CC42DA">
        <w:rPr>
          <w:lang w:val="en-US"/>
        </w:rPr>
        <w:t>Paringa</w:t>
      </w:r>
      <w:proofErr w:type="spellEnd"/>
      <w:r w:rsidR="00CC42DA">
        <w:rPr>
          <w:lang w:val="en-US"/>
        </w:rPr>
        <w:t xml:space="preserve"> Basalt. Rename the </w:t>
      </w:r>
      <w:proofErr w:type="spellStart"/>
      <w:r w:rsidR="00CC42DA">
        <w:rPr>
          <w:lang w:val="en-US"/>
        </w:rPr>
        <w:t>colour</w:t>
      </w:r>
      <w:proofErr w:type="spellEnd"/>
      <w:r w:rsidR="00CC42DA">
        <w:rPr>
          <w:lang w:val="en-US"/>
        </w:rPr>
        <w:t xml:space="preserve"> group Basalt as </w:t>
      </w:r>
      <w:proofErr w:type="spellStart"/>
      <w:r w:rsidR="00CC42DA">
        <w:rPr>
          <w:lang w:val="en-US"/>
        </w:rPr>
        <w:t>Lunnon</w:t>
      </w:r>
      <w:proofErr w:type="spellEnd"/>
      <w:r w:rsidR="00CC42DA">
        <w:rPr>
          <w:lang w:val="en-US"/>
        </w:rPr>
        <w:t xml:space="preserve"> Basalt and add 2 new green groups for the Devon </w:t>
      </w:r>
      <w:proofErr w:type="spellStart"/>
      <w:r w:rsidR="00CC42DA">
        <w:rPr>
          <w:lang w:val="en-US"/>
        </w:rPr>
        <w:t>Consols</w:t>
      </w:r>
      <w:proofErr w:type="spellEnd"/>
      <w:r w:rsidR="00CC42DA">
        <w:rPr>
          <w:lang w:val="en-US"/>
        </w:rPr>
        <w:t xml:space="preserve"> and </w:t>
      </w:r>
      <w:proofErr w:type="spellStart"/>
      <w:r w:rsidR="00CC42DA">
        <w:rPr>
          <w:lang w:val="en-US"/>
        </w:rPr>
        <w:t>Paringa</w:t>
      </w:r>
      <w:proofErr w:type="spellEnd"/>
      <w:r w:rsidR="00CC42DA">
        <w:rPr>
          <w:lang w:val="en-US"/>
        </w:rPr>
        <w:t xml:space="preserve">. The majority of </w:t>
      </w:r>
      <w:r w:rsidR="005945DC">
        <w:rPr>
          <w:lang w:val="en-US"/>
        </w:rPr>
        <w:t>Archean</w:t>
      </w:r>
      <w:r w:rsidR="00CC42DA">
        <w:rPr>
          <w:lang w:val="en-US"/>
        </w:rPr>
        <w:t xml:space="preserve"> basalts worldwide </w:t>
      </w:r>
      <w:r w:rsidR="00FF37F2">
        <w:rPr>
          <w:lang w:val="en-US"/>
        </w:rPr>
        <w:t>have the same bulk chemistry as the</w:t>
      </w:r>
      <w:r w:rsidR="00CC42DA">
        <w:rPr>
          <w:lang w:val="en-US"/>
        </w:rPr>
        <w:t xml:space="preserve"> </w:t>
      </w:r>
      <w:proofErr w:type="spellStart"/>
      <w:r w:rsidR="00CC42DA">
        <w:rPr>
          <w:lang w:val="en-US"/>
        </w:rPr>
        <w:t>Lunnon</w:t>
      </w:r>
      <w:proofErr w:type="spellEnd"/>
      <w:r w:rsidR="00CC42DA">
        <w:rPr>
          <w:lang w:val="en-US"/>
        </w:rPr>
        <w:t xml:space="preserve"> Basalt. The progression </w:t>
      </w:r>
      <w:r w:rsidR="00FF37F2">
        <w:rPr>
          <w:lang w:val="en-US"/>
        </w:rPr>
        <w:t xml:space="preserve">of increasing HFSE’s relative to </w:t>
      </w:r>
      <w:proofErr w:type="spellStart"/>
      <w:r w:rsidR="00FF37F2">
        <w:rPr>
          <w:lang w:val="en-US"/>
        </w:rPr>
        <w:t>Ti</w:t>
      </w:r>
      <w:proofErr w:type="spellEnd"/>
      <w:r w:rsidR="00FF37F2">
        <w:rPr>
          <w:lang w:val="en-US"/>
        </w:rPr>
        <w:t xml:space="preserve"> </w:t>
      </w:r>
      <w:r w:rsidR="00CC42DA">
        <w:rPr>
          <w:lang w:val="en-US"/>
        </w:rPr>
        <w:t xml:space="preserve">is usually a temporal evolution and the </w:t>
      </w:r>
      <w:r w:rsidR="00FF37F2">
        <w:rPr>
          <w:lang w:val="en-US"/>
        </w:rPr>
        <w:t>HFSE enriched</w:t>
      </w:r>
      <w:r w:rsidR="00CC42DA">
        <w:rPr>
          <w:lang w:val="en-US"/>
        </w:rPr>
        <w:t xml:space="preserve"> basalts are generally more common in better mineralized districts</w:t>
      </w:r>
      <w:r w:rsidR="005945DC">
        <w:rPr>
          <w:lang w:val="en-US"/>
        </w:rPr>
        <w:t xml:space="preserve">; </w:t>
      </w:r>
      <w:proofErr w:type="spellStart"/>
      <w:r w:rsidR="005945DC">
        <w:rPr>
          <w:lang w:val="en-US"/>
        </w:rPr>
        <w:t>ie</w:t>
      </w:r>
      <w:proofErr w:type="spellEnd"/>
      <w:r w:rsidR="005945DC">
        <w:rPr>
          <w:lang w:val="en-US"/>
        </w:rPr>
        <w:t xml:space="preserve"> the HFSE enriched basalts with </w:t>
      </w:r>
      <w:proofErr w:type="spellStart"/>
      <w:r w:rsidR="005945DC">
        <w:rPr>
          <w:lang w:val="en-US"/>
        </w:rPr>
        <w:t>Paringa</w:t>
      </w:r>
      <w:proofErr w:type="spellEnd"/>
      <w:r w:rsidR="005945DC">
        <w:rPr>
          <w:lang w:val="en-US"/>
        </w:rPr>
        <w:t>-type chemistry are present at the top of the mafic lava sequence in well-mineralized greenstones.</w:t>
      </w:r>
      <w:r w:rsidR="00CC42DA">
        <w:rPr>
          <w:lang w:val="en-US"/>
        </w:rPr>
        <w:t xml:space="preserve"> </w:t>
      </w:r>
    </w:p>
    <w:p w14:paraId="094FCE8A" w14:textId="3D89E951" w:rsidR="00CE0E6A" w:rsidRDefault="00CE0E6A">
      <w:pPr>
        <w:rPr>
          <w:lang w:val="en-US"/>
        </w:rPr>
      </w:pPr>
    </w:p>
    <w:p w14:paraId="05273C38" w14:textId="6FC6D18A" w:rsidR="005632C7" w:rsidRDefault="00230F83">
      <w:pPr>
        <w:rPr>
          <w:lang w:val="en-US"/>
        </w:rPr>
      </w:pPr>
      <w:r w:rsidRPr="00230F83">
        <w:rPr>
          <w:noProof/>
          <w:lang w:val="en-US"/>
        </w:rPr>
        <w:drawing>
          <wp:inline distT="0" distB="0" distL="0" distR="0" wp14:anchorId="39617C77" wp14:editId="3CBB2DD4">
            <wp:extent cx="5731510" cy="2472055"/>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472055"/>
                    </a:xfrm>
                    <a:prstGeom prst="rect">
                      <a:avLst/>
                    </a:prstGeom>
                  </pic:spPr>
                </pic:pic>
              </a:graphicData>
            </a:graphic>
          </wp:inline>
        </w:drawing>
      </w:r>
    </w:p>
    <w:p w14:paraId="2CF11C14" w14:textId="7BFFBAF5" w:rsidR="005632C7" w:rsidRDefault="005632C7">
      <w:pPr>
        <w:rPr>
          <w:lang w:val="en-US"/>
        </w:rPr>
      </w:pPr>
    </w:p>
    <w:p w14:paraId="1CB44CA8" w14:textId="2ECED112" w:rsidR="005632C7" w:rsidRDefault="00230F83">
      <w:pPr>
        <w:rPr>
          <w:lang w:val="en-US"/>
        </w:rPr>
      </w:pPr>
      <w:r w:rsidRPr="00230F83">
        <w:rPr>
          <w:noProof/>
        </w:rPr>
        <w:drawing>
          <wp:inline distT="0" distB="0" distL="0" distR="0" wp14:anchorId="4F3767D8" wp14:editId="41D6AD21">
            <wp:extent cx="3600000" cy="2244715"/>
            <wp:effectExtent l="0" t="0" r="635"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000" cy="2244715"/>
                    </a:xfrm>
                    <a:prstGeom prst="rect">
                      <a:avLst/>
                    </a:prstGeom>
                  </pic:spPr>
                </pic:pic>
              </a:graphicData>
            </a:graphic>
          </wp:inline>
        </w:drawing>
      </w:r>
    </w:p>
    <w:p w14:paraId="4E61AECF" w14:textId="7A66CD12" w:rsidR="005632C7" w:rsidRDefault="005632C7">
      <w:pPr>
        <w:rPr>
          <w:lang w:val="en-US"/>
        </w:rPr>
      </w:pPr>
    </w:p>
    <w:p w14:paraId="54D613B0" w14:textId="557C2C39" w:rsidR="005632C7" w:rsidRDefault="00230F83">
      <w:pPr>
        <w:rPr>
          <w:lang w:val="en-US"/>
        </w:rPr>
      </w:pPr>
      <w:r w:rsidRPr="00230F83">
        <w:rPr>
          <w:noProof/>
        </w:rPr>
        <w:lastRenderedPageBreak/>
        <w:drawing>
          <wp:inline distT="0" distB="0" distL="0" distR="0" wp14:anchorId="17B9772D" wp14:editId="5DC2866E">
            <wp:extent cx="5731510" cy="2471420"/>
            <wp:effectExtent l="0" t="0" r="254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471420"/>
                    </a:xfrm>
                    <a:prstGeom prst="rect">
                      <a:avLst/>
                    </a:prstGeom>
                  </pic:spPr>
                </pic:pic>
              </a:graphicData>
            </a:graphic>
          </wp:inline>
        </w:drawing>
      </w:r>
    </w:p>
    <w:p w14:paraId="7007135C" w14:textId="5D44D09C" w:rsidR="00CC42DA" w:rsidRDefault="00CC42DA">
      <w:pPr>
        <w:rPr>
          <w:lang w:val="en-US"/>
        </w:rPr>
      </w:pPr>
    </w:p>
    <w:p w14:paraId="50ED9A68" w14:textId="3403C81D" w:rsidR="004D200C" w:rsidRDefault="004D200C" w:rsidP="004D200C">
      <w:pPr>
        <w:rPr>
          <w:b/>
          <w:bCs/>
          <w:color w:val="FF0000"/>
          <w:sz w:val="32"/>
          <w:szCs w:val="32"/>
          <w:lang w:val="en-US"/>
        </w:rPr>
      </w:pPr>
      <w:r w:rsidRPr="00E75E8F">
        <w:rPr>
          <w:b/>
          <w:bCs/>
          <w:color w:val="FF0000"/>
          <w:sz w:val="32"/>
          <w:szCs w:val="32"/>
          <w:lang w:val="en-US"/>
        </w:rPr>
        <w:t>Save a checkpoint.</w:t>
      </w:r>
    </w:p>
    <w:p w14:paraId="414BCC5C" w14:textId="73298E7F" w:rsidR="00C457A3" w:rsidRPr="00F15F79" w:rsidRDefault="00C457A3" w:rsidP="00C457A3">
      <w:pPr>
        <w:pStyle w:val="Heading2"/>
        <w:rPr>
          <w:color w:val="auto"/>
          <w:lang w:val="en-US"/>
        </w:rPr>
      </w:pPr>
      <w:r>
        <w:rPr>
          <w:color w:val="auto"/>
          <w:lang w:val="en-US"/>
        </w:rPr>
        <w:t xml:space="preserve">Breakout </w:t>
      </w:r>
      <w:r w:rsidR="00230F83" w:rsidRPr="00230F83">
        <w:rPr>
          <w:color w:val="auto"/>
          <w:lang w:val="en-US"/>
        </w:rPr>
        <w:t>Discussion</w:t>
      </w:r>
      <w:r w:rsidR="00FC3ED9">
        <w:rPr>
          <w:color w:val="auto"/>
          <w:lang w:val="en-US"/>
        </w:rPr>
        <w:t xml:space="preserve"> #1</w:t>
      </w:r>
      <w:r>
        <w:rPr>
          <w:color w:val="auto"/>
          <w:lang w:val="en-US"/>
        </w:rPr>
        <w:t xml:space="preserve">; </w:t>
      </w:r>
      <w:r w:rsidRPr="00F15F79">
        <w:rPr>
          <w:color w:val="auto"/>
          <w:lang w:val="en-US"/>
        </w:rPr>
        <w:t>In Situ Fractionation</w:t>
      </w:r>
      <w:r>
        <w:rPr>
          <w:color w:val="auto"/>
          <w:lang w:val="en-US"/>
        </w:rPr>
        <w:t xml:space="preserve"> in</w:t>
      </w:r>
      <w:r w:rsidRPr="00F15F79">
        <w:rPr>
          <w:color w:val="auto"/>
          <w:lang w:val="en-US"/>
        </w:rPr>
        <w:t xml:space="preserve"> Tholeiit</w:t>
      </w:r>
      <w:r>
        <w:rPr>
          <w:color w:val="auto"/>
          <w:lang w:val="en-US"/>
        </w:rPr>
        <w:t>ic magmas</w:t>
      </w:r>
    </w:p>
    <w:p w14:paraId="4DB8C672" w14:textId="2F6099B6" w:rsidR="00E22805" w:rsidRDefault="008F406E">
      <w:pPr>
        <w:rPr>
          <w:lang w:val="en-US"/>
        </w:rPr>
      </w:pPr>
      <w:r>
        <w:rPr>
          <w:lang w:val="en-US"/>
        </w:rPr>
        <w:t xml:space="preserve">The majority of the mafic to ultramafic rocks in the Barcode data are lavas. These </w:t>
      </w:r>
      <w:r w:rsidR="00A63EC0">
        <w:rPr>
          <w:lang w:val="en-US"/>
        </w:rPr>
        <w:t>were</w:t>
      </w:r>
      <w:r>
        <w:rPr>
          <w:lang w:val="en-US"/>
        </w:rPr>
        <w:t xml:space="preserve"> melts derived via a high degree of partial </w:t>
      </w:r>
      <w:r w:rsidR="00C457A3">
        <w:rPr>
          <w:lang w:val="en-US"/>
        </w:rPr>
        <w:t>melting and</w:t>
      </w:r>
      <w:r>
        <w:rPr>
          <w:lang w:val="en-US"/>
        </w:rPr>
        <w:t xml:space="preserve"> were extruded with relatively little modification. </w:t>
      </w:r>
    </w:p>
    <w:p w14:paraId="4AA82966" w14:textId="77E4FAC0" w:rsidR="00A63EC0" w:rsidRDefault="00FE52E2" w:rsidP="00A63EC0">
      <w:pPr>
        <w:rPr>
          <w:lang w:val="en-US"/>
        </w:rPr>
      </w:pPr>
      <w:r>
        <w:rPr>
          <w:lang w:val="en-US"/>
        </w:rPr>
        <w:t xml:space="preserve">Many gold deposits in the </w:t>
      </w:r>
      <w:proofErr w:type="spellStart"/>
      <w:r w:rsidR="00A63EC0">
        <w:rPr>
          <w:lang w:val="en-US"/>
        </w:rPr>
        <w:t>Yilgarn</w:t>
      </w:r>
      <w:proofErr w:type="spellEnd"/>
      <w:r w:rsidR="00A63EC0">
        <w:rPr>
          <w:lang w:val="en-US"/>
        </w:rPr>
        <w:t xml:space="preserve"> </w:t>
      </w:r>
      <w:r>
        <w:rPr>
          <w:lang w:val="en-US"/>
        </w:rPr>
        <w:t>Craton</w:t>
      </w:r>
      <w:r w:rsidR="00A63EC0">
        <w:rPr>
          <w:lang w:val="en-US"/>
        </w:rPr>
        <w:t xml:space="preserve"> are hosted in the fractionated portions of dolerite sills. </w:t>
      </w:r>
      <w:r>
        <w:rPr>
          <w:lang w:val="en-US"/>
        </w:rPr>
        <w:t>Therefore,</w:t>
      </w:r>
      <w:r w:rsidR="00A63EC0">
        <w:rPr>
          <w:lang w:val="en-US"/>
        </w:rPr>
        <w:t xml:space="preserve"> it is very useful to be able to </w:t>
      </w:r>
      <w:r>
        <w:rPr>
          <w:lang w:val="en-US"/>
        </w:rPr>
        <w:t xml:space="preserve">chemically </w:t>
      </w:r>
      <w:r w:rsidR="00A63EC0">
        <w:rPr>
          <w:lang w:val="en-US"/>
        </w:rPr>
        <w:t xml:space="preserve">map the </w:t>
      </w:r>
      <w:r>
        <w:rPr>
          <w:lang w:val="en-US"/>
        </w:rPr>
        <w:t xml:space="preserve">degree of </w:t>
      </w:r>
      <w:r w:rsidR="00A63EC0">
        <w:rPr>
          <w:lang w:val="en-US"/>
        </w:rPr>
        <w:t xml:space="preserve">fractionation within the sills. To </w:t>
      </w:r>
      <w:r>
        <w:rPr>
          <w:lang w:val="en-US"/>
        </w:rPr>
        <w:t xml:space="preserve">show how chemistry can be used to track sequential crystallization of different minerals during </w:t>
      </w:r>
      <w:proofErr w:type="spellStart"/>
      <w:r>
        <w:rPr>
          <w:lang w:val="en-US"/>
        </w:rPr>
        <w:t>insitu</w:t>
      </w:r>
      <w:proofErr w:type="spellEnd"/>
      <w:r>
        <w:rPr>
          <w:lang w:val="en-US"/>
        </w:rPr>
        <w:t xml:space="preserve"> fractionation</w:t>
      </w:r>
      <w:r w:rsidR="00A63EC0">
        <w:rPr>
          <w:lang w:val="en-US"/>
        </w:rPr>
        <w:t xml:space="preserve">, the longest non-faulted (continuous section) of Golden Mile dolerite ever drilled is presented here. </w:t>
      </w:r>
    </w:p>
    <w:p w14:paraId="3048F816" w14:textId="30F09E65" w:rsidR="00A63EC0" w:rsidRDefault="00A63EC0" w:rsidP="00A63EC0">
      <w:pPr>
        <w:rPr>
          <w:lang w:val="en-US"/>
        </w:rPr>
      </w:pPr>
      <w:r>
        <w:rPr>
          <w:lang w:val="en-US"/>
        </w:rPr>
        <w:t xml:space="preserve">One of the very distinctive signatures of the dolerite sills in the </w:t>
      </w:r>
      <w:proofErr w:type="spellStart"/>
      <w:r>
        <w:rPr>
          <w:lang w:val="en-US"/>
        </w:rPr>
        <w:t>Yilgarn</w:t>
      </w:r>
      <w:proofErr w:type="spellEnd"/>
      <w:r>
        <w:rPr>
          <w:lang w:val="en-US"/>
        </w:rPr>
        <w:t xml:space="preserve"> is that they contain a magneti</w:t>
      </w:r>
      <w:r w:rsidR="00FE52E2">
        <w:rPr>
          <w:lang w:val="en-US"/>
        </w:rPr>
        <w:t>te-bearing</w:t>
      </w:r>
      <w:r>
        <w:rPr>
          <w:lang w:val="en-US"/>
        </w:rPr>
        <w:t xml:space="preserve"> fractionated zone near the tops of the sills. Mafic tholeiites in the Archean are generally NOT magnetic. That is because the dominant opaque oxide mineral in these rocks is ilmenite rather than magnetite. This is an indication that these are reduced magmas. </w:t>
      </w:r>
    </w:p>
    <w:p w14:paraId="1B050573" w14:textId="6A9D4505" w:rsidR="00A63EC0" w:rsidRDefault="00A63EC0" w:rsidP="00A63EC0">
      <w:pPr>
        <w:rPr>
          <w:lang w:val="en-US"/>
        </w:rPr>
      </w:pPr>
      <w:r>
        <w:rPr>
          <w:lang w:val="en-US"/>
        </w:rPr>
        <w:t>An easy way to recognize this is to plot a pair of redox sensitive elements like V and Sc. These are both compatible elements. In reduced magmas, both Sc and V3+ substitute for Fe in silicates such as pyroxene and hornblende. This leads to a linear correlation between V and Sc with a ratio of 7:1. However, in more oxidized conditions some of the V has a charge of 4+. V4+ is less compatible in silicates, but highly compatible in magnetite. This causes significant departures from that 7:1 trend.</w:t>
      </w:r>
    </w:p>
    <w:p w14:paraId="2E6DC422" w14:textId="6164F0E1" w:rsidR="00A63EC0" w:rsidRDefault="00683F0C" w:rsidP="00A63EC0">
      <w:pPr>
        <w:rPr>
          <w:lang w:val="en-US"/>
        </w:rPr>
      </w:pPr>
      <w:r w:rsidRPr="00683F0C">
        <w:rPr>
          <w:noProof/>
        </w:rPr>
        <w:drawing>
          <wp:inline distT="0" distB="0" distL="0" distR="0" wp14:anchorId="7879D714" wp14:editId="31B8A131">
            <wp:extent cx="5731510" cy="19805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980565"/>
                    </a:xfrm>
                    <a:prstGeom prst="rect">
                      <a:avLst/>
                    </a:prstGeom>
                  </pic:spPr>
                </pic:pic>
              </a:graphicData>
            </a:graphic>
          </wp:inline>
        </w:drawing>
      </w:r>
    </w:p>
    <w:p w14:paraId="0DECC576" w14:textId="32839DDD" w:rsidR="00A63EC0" w:rsidRDefault="00683F0C">
      <w:pPr>
        <w:rPr>
          <w:lang w:val="en-US"/>
        </w:rPr>
      </w:pPr>
      <w:r>
        <w:rPr>
          <w:lang w:val="en-US"/>
        </w:rPr>
        <w:lastRenderedPageBreak/>
        <w:t>In the Golden Mile data (above, left), t</w:t>
      </w:r>
      <w:r w:rsidRPr="00683F0C">
        <w:rPr>
          <w:lang w:val="en-US"/>
        </w:rPr>
        <w:t xml:space="preserve">here is a cluster of points that plot on or around the 7:1 line, but there are some analyses from the dolerite that have over 1000ppm vanadium, and some that are less than 50ppm. </w:t>
      </w:r>
      <w:r w:rsidR="007D4433">
        <w:rPr>
          <w:lang w:val="en-US"/>
        </w:rPr>
        <w:t xml:space="preserve">During in-situ fractionation, </w:t>
      </w:r>
      <w:r w:rsidRPr="00683F0C">
        <w:rPr>
          <w:lang w:val="en-US"/>
        </w:rPr>
        <w:t xml:space="preserve">water content built up to a point where </w:t>
      </w:r>
      <w:r w:rsidR="00CA0596">
        <w:rPr>
          <w:lang w:val="en-US"/>
        </w:rPr>
        <w:t xml:space="preserve">hornblende became stable in preference to pyroxene, and </w:t>
      </w:r>
      <w:r w:rsidRPr="00683F0C">
        <w:rPr>
          <w:lang w:val="en-US"/>
        </w:rPr>
        <w:t xml:space="preserve">magnetite </w:t>
      </w:r>
      <w:r w:rsidR="00CA0596">
        <w:rPr>
          <w:lang w:val="en-US"/>
        </w:rPr>
        <w:t>was</w:t>
      </w:r>
      <w:r w:rsidRPr="00683F0C">
        <w:rPr>
          <w:lang w:val="en-US"/>
        </w:rPr>
        <w:t xml:space="preserve"> the stable oxide phase in preference to ilmenite. </w:t>
      </w:r>
      <w:r w:rsidR="00CA0596">
        <w:rPr>
          <w:lang w:val="en-US"/>
        </w:rPr>
        <w:t>T</w:t>
      </w:r>
      <w:r w:rsidRPr="00683F0C">
        <w:rPr>
          <w:lang w:val="en-US"/>
        </w:rPr>
        <w:t xml:space="preserve">he first-formed magnetite </w:t>
      </w:r>
      <w:r w:rsidR="00CA0596">
        <w:rPr>
          <w:lang w:val="en-US"/>
        </w:rPr>
        <w:t>was</w:t>
      </w:r>
      <w:r w:rsidRPr="00683F0C">
        <w:rPr>
          <w:lang w:val="en-US"/>
        </w:rPr>
        <w:t xml:space="preserve"> very V-rich. So much V </w:t>
      </w:r>
      <w:r w:rsidR="00CA0596">
        <w:rPr>
          <w:lang w:val="en-US"/>
        </w:rPr>
        <w:t>was</w:t>
      </w:r>
      <w:r w:rsidRPr="00683F0C">
        <w:rPr>
          <w:lang w:val="en-US"/>
        </w:rPr>
        <w:t xml:space="preserve"> taken up in the early magnetite that the remaining melt bec</w:t>
      </w:r>
      <w:r w:rsidR="00CA0596">
        <w:rPr>
          <w:lang w:val="en-US"/>
        </w:rPr>
        <w:t>ame</w:t>
      </w:r>
      <w:r w:rsidRPr="00683F0C">
        <w:rPr>
          <w:lang w:val="en-US"/>
        </w:rPr>
        <w:t xml:space="preserve"> depleted in V. During the final stages of crystallization, there </w:t>
      </w:r>
      <w:r w:rsidR="00CA0596">
        <w:rPr>
          <w:lang w:val="en-US"/>
        </w:rPr>
        <w:t>was</w:t>
      </w:r>
      <w:r w:rsidRPr="00683F0C">
        <w:rPr>
          <w:lang w:val="en-US"/>
        </w:rPr>
        <w:t xml:space="preserve"> no V left in the melt. The magnetite fractionation trajectory is shown by the curved red arrow.</w:t>
      </w:r>
    </w:p>
    <w:p w14:paraId="3B25AE0C" w14:textId="4297F408" w:rsidR="00F1098F" w:rsidRDefault="00F1098F" w:rsidP="00F1098F">
      <w:pPr>
        <w:rPr>
          <w:lang w:val="en-US"/>
        </w:rPr>
      </w:pPr>
      <w:r>
        <w:rPr>
          <w:lang w:val="en-US"/>
        </w:rPr>
        <w:t xml:space="preserve">Profiles of some elements through the sill reflect changes in the mineralogy. The lower and upper chilled margins contain a higher abundance of clinopyroxene, which takes up most of the Cr. The lower plagioclase-rich zone (dark green) not only has Ca-rich plagioclase, but also </w:t>
      </w:r>
      <w:proofErr w:type="spellStart"/>
      <w:r>
        <w:rPr>
          <w:lang w:val="en-US"/>
        </w:rPr>
        <w:t>cpx</w:t>
      </w:r>
      <w:proofErr w:type="spellEnd"/>
      <w:r>
        <w:rPr>
          <w:lang w:val="en-US"/>
        </w:rPr>
        <w:t xml:space="preserve">, </w:t>
      </w:r>
      <w:proofErr w:type="spellStart"/>
      <w:r>
        <w:rPr>
          <w:lang w:val="en-US"/>
        </w:rPr>
        <w:t>opx</w:t>
      </w:r>
      <w:proofErr w:type="spellEnd"/>
      <w:r>
        <w:rPr>
          <w:lang w:val="en-US"/>
        </w:rPr>
        <w:t xml:space="preserve"> and </w:t>
      </w:r>
      <w:r w:rsidR="00CA0596">
        <w:rPr>
          <w:lang w:val="en-US"/>
        </w:rPr>
        <w:t>ilmenite</w:t>
      </w:r>
      <w:r>
        <w:rPr>
          <w:lang w:val="en-US"/>
        </w:rPr>
        <w:t>. With further cooling, the water content in the remaining melt increases until hornblende becomes stable in preference to pyroxene (khaki group). As the water content increases further, magnetite becomes stable in preference to ilmenite, and there is a sudden spike in the vanadium content (yellow group). With ongoing magnetite crystallization, the V content in the melt starts to fall (orange group). The last crystallizing portion is depleted in vanadium, becomes increasingly quartz-rich (so all other majors decrease), and accumulates all of the incompatible elements that don’t easily fit into the lattice of the common silicate minerals (</w:t>
      </w:r>
      <w:proofErr w:type="spellStart"/>
      <w:r>
        <w:rPr>
          <w:lang w:val="en-US"/>
        </w:rPr>
        <w:t>ie</w:t>
      </w:r>
      <w:proofErr w:type="spellEnd"/>
      <w:r>
        <w:rPr>
          <w:lang w:val="en-US"/>
        </w:rPr>
        <w:t xml:space="preserve"> Zr, Nb, Th, REE’s, </w:t>
      </w:r>
      <w:proofErr w:type="spellStart"/>
      <w:r>
        <w:rPr>
          <w:lang w:val="en-US"/>
        </w:rPr>
        <w:t>etc</w:t>
      </w:r>
      <w:proofErr w:type="spellEnd"/>
      <w:r>
        <w:rPr>
          <w:lang w:val="en-US"/>
        </w:rPr>
        <w:t xml:space="preserve">). </w:t>
      </w:r>
    </w:p>
    <w:p w14:paraId="61B0C681" w14:textId="7BF08F62" w:rsidR="00683F0C" w:rsidRDefault="00683F0C">
      <w:pPr>
        <w:rPr>
          <w:lang w:val="en-US"/>
        </w:rPr>
      </w:pPr>
      <w:r w:rsidRPr="00683F0C">
        <w:rPr>
          <w:noProof/>
        </w:rPr>
        <w:drawing>
          <wp:inline distT="0" distB="0" distL="0" distR="0" wp14:anchorId="56B990BF" wp14:editId="7850FB5A">
            <wp:extent cx="5731510" cy="361886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618865"/>
                    </a:xfrm>
                    <a:prstGeom prst="rect">
                      <a:avLst/>
                    </a:prstGeom>
                  </pic:spPr>
                </pic:pic>
              </a:graphicData>
            </a:graphic>
          </wp:inline>
        </w:drawing>
      </w:r>
    </w:p>
    <w:p w14:paraId="2E049448" w14:textId="0A713ADA" w:rsidR="00A63EC0" w:rsidRDefault="00A63EC0">
      <w:pPr>
        <w:rPr>
          <w:lang w:val="en-US"/>
        </w:rPr>
      </w:pPr>
    </w:p>
    <w:p w14:paraId="34EB80DB" w14:textId="4092D9D0" w:rsidR="00F1098F" w:rsidRDefault="00F1098F">
      <w:pPr>
        <w:rPr>
          <w:lang w:val="en-US"/>
        </w:rPr>
      </w:pPr>
      <w:r w:rsidRPr="00F1098F">
        <w:rPr>
          <w:noProof/>
        </w:rPr>
        <w:lastRenderedPageBreak/>
        <w:drawing>
          <wp:inline distT="0" distB="0" distL="0" distR="0" wp14:anchorId="6A972A8C" wp14:editId="290D852C">
            <wp:extent cx="5731510" cy="26733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673350"/>
                    </a:xfrm>
                    <a:prstGeom prst="rect">
                      <a:avLst/>
                    </a:prstGeom>
                  </pic:spPr>
                </pic:pic>
              </a:graphicData>
            </a:graphic>
          </wp:inline>
        </w:drawing>
      </w:r>
    </w:p>
    <w:p w14:paraId="5CBACC50" w14:textId="0FE0088E" w:rsidR="006A721E" w:rsidRDefault="006A721E">
      <w:pPr>
        <w:rPr>
          <w:lang w:val="en-US"/>
        </w:rPr>
      </w:pPr>
      <w:r>
        <w:rPr>
          <w:lang w:val="en-US"/>
        </w:rPr>
        <w:t xml:space="preserve">A plot of Sc versus Al shows a significant process that occurs </w:t>
      </w:r>
      <w:r w:rsidR="009B65CC">
        <w:rPr>
          <w:lang w:val="en-US"/>
        </w:rPr>
        <w:t>during</w:t>
      </w:r>
      <w:r>
        <w:rPr>
          <w:lang w:val="en-US"/>
        </w:rPr>
        <w:t xml:space="preserve"> in-situ fractionation. The plot above compares in-situ fractionation in the Golden Mile dolerite </w:t>
      </w:r>
      <w:r w:rsidR="00CA0596">
        <w:rPr>
          <w:lang w:val="en-US"/>
        </w:rPr>
        <w:t xml:space="preserve">(left) </w:t>
      </w:r>
      <w:r>
        <w:rPr>
          <w:lang w:val="en-US"/>
        </w:rPr>
        <w:t>with non-fractionated lavas from the Barcode data set</w:t>
      </w:r>
      <w:r w:rsidR="00CA0596">
        <w:rPr>
          <w:lang w:val="en-US"/>
        </w:rPr>
        <w:t xml:space="preserve"> (right)</w:t>
      </w:r>
      <w:r>
        <w:rPr>
          <w:lang w:val="en-US"/>
        </w:rPr>
        <w:t>. Polygons have been sketched around the compositional groups from the Barcode data</w:t>
      </w:r>
      <w:r w:rsidR="009B65CC">
        <w:rPr>
          <w:lang w:val="en-US"/>
        </w:rPr>
        <w:t xml:space="preserve"> </w:t>
      </w:r>
      <w:r>
        <w:rPr>
          <w:lang w:val="en-US"/>
        </w:rPr>
        <w:t>and overlaid on the Golden Mile Dolerite data</w:t>
      </w:r>
      <w:r w:rsidR="00CA0596">
        <w:rPr>
          <w:lang w:val="en-US"/>
        </w:rPr>
        <w:t xml:space="preserve">. </w:t>
      </w:r>
      <w:r>
        <w:rPr>
          <w:lang w:val="en-US"/>
        </w:rPr>
        <w:t>The dolerite has a lower leucogabbro zone characterized by a high abundance of plagioclase and lower abundance of pyroxenes. This results in higher Al, but lower Sc. Note that very few of the tholeiit</w:t>
      </w:r>
      <w:r w:rsidR="009B65CC">
        <w:rPr>
          <w:lang w:val="en-US"/>
        </w:rPr>
        <w:t xml:space="preserve">ic lavas from the Barcode data </w:t>
      </w:r>
      <w:r>
        <w:rPr>
          <w:lang w:val="en-US"/>
        </w:rPr>
        <w:t xml:space="preserve">plot outside the range of 6 to 9% Al. </w:t>
      </w:r>
      <w:r w:rsidR="00F15F79">
        <w:rPr>
          <w:lang w:val="en-US"/>
        </w:rPr>
        <w:t xml:space="preserve">Above the leucogabbro, there is a rapid transition to zones with significantly lower feldspar content (lower Al) but increased ferro-mag content, in this case amphibole rather than pyroxene. This is indicated by higher Sc content. At the final stage of fractionation, the quartz content increases </w:t>
      </w:r>
      <w:r w:rsidR="00CA0596">
        <w:rPr>
          <w:lang w:val="en-US"/>
        </w:rPr>
        <w:t xml:space="preserve">and feldspars plus amphiboles decrease. </w:t>
      </w:r>
    </w:p>
    <w:p w14:paraId="6B671F94" w14:textId="14AF0C5E" w:rsidR="005C5CA1" w:rsidRDefault="00F15F79">
      <w:pPr>
        <w:rPr>
          <w:lang w:val="en-US"/>
        </w:rPr>
      </w:pPr>
      <w:r>
        <w:rPr>
          <w:lang w:val="en-US"/>
        </w:rPr>
        <w:t xml:space="preserve">This example highlights some important controls on fractionation. In mafic to ultramafic compositions, whole rock fractionation trends are controlled by the separation of olivines, pyroxenes and plagioclase. </w:t>
      </w:r>
      <w:r w:rsidR="008024BC">
        <w:rPr>
          <w:lang w:val="en-US"/>
        </w:rPr>
        <w:t>The order of crystallization is Mg olivine, Fe olivine, Mg pyroxene, plagioclase, Fe pyroxene (+/- hornblende). With a starting composition of a regular tholeiite, the classic Fe-enrichment trend associated with tholeiitic fractionation is driven by crystallization and separation of plagioclase</w:t>
      </w:r>
      <w:r w:rsidR="005C5CA1">
        <w:rPr>
          <w:lang w:val="en-US"/>
        </w:rPr>
        <w:t xml:space="preserve">. The zonation in the Golden Mile Dolerite clearly reflects crystallization of calcic plagioclase before Fe pyroxene and hornblende. </w:t>
      </w:r>
    </w:p>
    <w:p w14:paraId="41D021E6" w14:textId="7189DEDE" w:rsidR="005C5CA1" w:rsidRDefault="005C5CA1">
      <w:pPr>
        <w:rPr>
          <w:lang w:val="en-US"/>
        </w:rPr>
      </w:pPr>
      <w:r w:rsidRPr="005C5CA1">
        <w:rPr>
          <w:noProof/>
        </w:rPr>
        <w:drawing>
          <wp:inline distT="0" distB="0" distL="0" distR="0" wp14:anchorId="5137E335" wp14:editId="6FA863FE">
            <wp:extent cx="4320000" cy="1868522"/>
            <wp:effectExtent l="0" t="0" r="444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7"/>
                    <a:stretch>
                      <a:fillRect/>
                    </a:stretch>
                  </pic:blipFill>
                  <pic:spPr>
                    <a:xfrm>
                      <a:off x="0" y="0"/>
                      <a:ext cx="4320000" cy="1868522"/>
                    </a:xfrm>
                    <a:prstGeom prst="rect">
                      <a:avLst/>
                    </a:prstGeom>
                  </pic:spPr>
                </pic:pic>
              </a:graphicData>
            </a:graphic>
          </wp:inline>
        </w:drawing>
      </w:r>
    </w:p>
    <w:p w14:paraId="4D49EF83" w14:textId="6E3351A5" w:rsidR="00F15F79" w:rsidRDefault="008024BC">
      <w:pPr>
        <w:rPr>
          <w:lang w:val="en-US"/>
        </w:rPr>
      </w:pPr>
      <w:r>
        <w:rPr>
          <w:lang w:val="en-US"/>
        </w:rPr>
        <w:t xml:space="preserve">The Jensen cation plot below shows the trajectory of fractionation in the Golden Mile Dolerite. Something else that is critical to note is that the Golden Mile Dolerite has the same bulk composition and trace element composition as the most common and voluminous of the Archean basalts, but it </w:t>
      </w:r>
      <w:r>
        <w:rPr>
          <w:lang w:val="en-US"/>
        </w:rPr>
        <w:lastRenderedPageBreak/>
        <w:t xml:space="preserve">still contains enough water to stabilize hornblende in preference to pyroxenes by the time it has reached 80% crystallization. </w:t>
      </w:r>
    </w:p>
    <w:p w14:paraId="61157C51" w14:textId="104F1601" w:rsidR="00F15F79" w:rsidRDefault="00F15F79">
      <w:pPr>
        <w:rPr>
          <w:lang w:val="en-US"/>
        </w:rPr>
      </w:pPr>
    </w:p>
    <w:p w14:paraId="450BF164" w14:textId="6455E9A1" w:rsidR="00F15F79" w:rsidRDefault="00F15F79">
      <w:pPr>
        <w:rPr>
          <w:lang w:val="en-US"/>
        </w:rPr>
      </w:pPr>
      <w:r w:rsidRPr="00F15F79">
        <w:rPr>
          <w:noProof/>
        </w:rPr>
        <w:drawing>
          <wp:inline distT="0" distB="0" distL="0" distR="0" wp14:anchorId="4EF0AC37" wp14:editId="6596B775">
            <wp:extent cx="4320000" cy="3349364"/>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20000" cy="3349364"/>
                    </a:xfrm>
                    <a:prstGeom prst="rect">
                      <a:avLst/>
                    </a:prstGeom>
                  </pic:spPr>
                </pic:pic>
              </a:graphicData>
            </a:graphic>
          </wp:inline>
        </w:drawing>
      </w:r>
    </w:p>
    <w:p w14:paraId="686E97FD" w14:textId="7397A25F" w:rsidR="00FC3ED9" w:rsidRPr="00F15F79" w:rsidRDefault="00FC3ED9" w:rsidP="00FC3ED9">
      <w:pPr>
        <w:pStyle w:val="Heading2"/>
        <w:rPr>
          <w:color w:val="auto"/>
          <w:lang w:val="en-US"/>
        </w:rPr>
      </w:pPr>
      <w:r>
        <w:rPr>
          <w:color w:val="auto"/>
          <w:lang w:val="en-US"/>
        </w:rPr>
        <w:t xml:space="preserve">Breakout </w:t>
      </w:r>
      <w:r w:rsidRPr="00230F83">
        <w:rPr>
          <w:color w:val="auto"/>
          <w:lang w:val="en-US"/>
        </w:rPr>
        <w:t>Discussion</w:t>
      </w:r>
      <w:r>
        <w:rPr>
          <w:color w:val="auto"/>
          <w:lang w:val="en-US"/>
        </w:rPr>
        <w:t xml:space="preserve"> #2; </w:t>
      </w:r>
      <w:r w:rsidRPr="00F15F79">
        <w:rPr>
          <w:color w:val="auto"/>
          <w:lang w:val="en-US"/>
        </w:rPr>
        <w:t>Fractionation</w:t>
      </w:r>
      <w:r>
        <w:rPr>
          <w:color w:val="auto"/>
          <w:lang w:val="en-US"/>
        </w:rPr>
        <w:t xml:space="preserve"> in</w:t>
      </w:r>
      <w:r w:rsidRPr="00F15F79">
        <w:rPr>
          <w:color w:val="auto"/>
          <w:lang w:val="en-US"/>
        </w:rPr>
        <w:t xml:space="preserve"> </w:t>
      </w:r>
      <w:r w:rsidRPr="00224215">
        <w:rPr>
          <w:color w:val="auto"/>
          <w:lang w:val="en-US"/>
        </w:rPr>
        <w:t>Ultramafic</w:t>
      </w:r>
      <w:r>
        <w:rPr>
          <w:color w:val="auto"/>
          <w:lang w:val="en-US"/>
        </w:rPr>
        <w:t xml:space="preserve"> magmas</w:t>
      </w:r>
    </w:p>
    <w:p w14:paraId="721A5B85" w14:textId="1E740795" w:rsidR="00EE39F7" w:rsidRDefault="00224215">
      <w:pPr>
        <w:rPr>
          <w:lang w:val="en-US"/>
        </w:rPr>
      </w:pPr>
      <w:r>
        <w:rPr>
          <w:lang w:val="en-US"/>
        </w:rPr>
        <w:t xml:space="preserve">The next example is from a magmatic nickel sulfide deposit. </w:t>
      </w:r>
      <w:r w:rsidR="00F747DA">
        <w:rPr>
          <w:lang w:val="en-US"/>
        </w:rPr>
        <w:t xml:space="preserve"> The Sc vs Al plot again has the Barcode compositional groups overlaid for reference. Note that there are 3 compositional groups in here. There is a pyroxenite group that is slightly lower in Al, but enriched in Sc.</w:t>
      </w:r>
      <w:r w:rsidR="004E709F">
        <w:rPr>
          <w:lang w:val="en-US"/>
        </w:rPr>
        <w:t xml:space="preserve"> Below this there is a trend of data heading to higher Al and lower Sc; </w:t>
      </w:r>
      <w:proofErr w:type="spellStart"/>
      <w:r w:rsidR="004E709F">
        <w:rPr>
          <w:lang w:val="en-US"/>
        </w:rPr>
        <w:t>ie</w:t>
      </w:r>
      <w:proofErr w:type="spellEnd"/>
      <w:r w:rsidR="004E709F">
        <w:rPr>
          <w:lang w:val="en-US"/>
        </w:rPr>
        <w:t xml:space="preserve"> more plagioclase and less pyroxene. These rocks are very strongly fractionated, but this is not in-situ fractionation as each of these groups was emplaced as separate pulses within chonoliths. </w:t>
      </w:r>
      <w:r w:rsidR="00FC3ED9">
        <w:rPr>
          <w:lang w:val="en-US"/>
        </w:rPr>
        <w:t>T</w:t>
      </w:r>
      <w:r w:rsidR="004E709F">
        <w:rPr>
          <w:lang w:val="en-US"/>
        </w:rPr>
        <w:t xml:space="preserve">hese data demonstrate that these melts had residence time within a magma chamber with successive pulses then tapped from that chamber. </w:t>
      </w:r>
      <w:r w:rsidR="00ED0CFA">
        <w:rPr>
          <w:lang w:val="en-US"/>
        </w:rPr>
        <w:t xml:space="preserve">The second plot from this example shows the same data </w:t>
      </w:r>
      <w:r w:rsidR="004A7763">
        <w:rPr>
          <w:lang w:val="en-US"/>
        </w:rPr>
        <w:t xml:space="preserve">presented as a Jensen Cation plot. The unmodified lavas represented in the Barcode data plot with very tight domains on this diagram, and polygons were traced to show the komatiite to tholeiitic basalt compositions. In comparison, the gabbronorite (pyroxenite) from the Ni sulfide system is slightly more Fe-rich than the basaltic komatiites, but the leucogabbro </w:t>
      </w:r>
      <w:r w:rsidR="00FC3ED9">
        <w:rPr>
          <w:lang w:val="en-US"/>
        </w:rPr>
        <w:t>is trending towards an</w:t>
      </w:r>
      <w:r w:rsidR="004A7763">
        <w:rPr>
          <w:lang w:val="en-US"/>
        </w:rPr>
        <w:t xml:space="preserve"> anorthosite.</w:t>
      </w:r>
    </w:p>
    <w:p w14:paraId="64D02B17" w14:textId="7EBE3E4E" w:rsidR="00224215" w:rsidRDefault="00224215">
      <w:pPr>
        <w:rPr>
          <w:lang w:val="en-US"/>
        </w:rPr>
      </w:pPr>
      <w:r w:rsidRPr="00224215">
        <w:rPr>
          <w:noProof/>
        </w:rPr>
        <w:lastRenderedPageBreak/>
        <w:drawing>
          <wp:inline distT="0" distB="0" distL="0" distR="0" wp14:anchorId="401F0003" wp14:editId="5C064F53">
            <wp:extent cx="5731510" cy="26733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673350"/>
                    </a:xfrm>
                    <a:prstGeom prst="rect">
                      <a:avLst/>
                    </a:prstGeom>
                  </pic:spPr>
                </pic:pic>
              </a:graphicData>
            </a:graphic>
          </wp:inline>
        </w:drawing>
      </w:r>
    </w:p>
    <w:p w14:paraId="63693C9B" w14:textId="1CAC483C" w:rsidR="00224215" w:rsidRDefault="00224215">
      <w:pPr>
        <w:rPr>
          <w:lang w:val="en-US"/>
        </w:rPr>
      </w:pPr>
    </w:p>
    <w:p w14:paraId="185BF380" w14:textId="5EB02407" w:rsidR="00224215" w:rsidRDefault="00224215">
      <w:pPr>
        <w:rPr>
          <w:lang w:val="en-US"/>
        </w:rPr>
      </w:pPr>
      <w:r w:rsidRPr="00224215">
        <w:rPr>
          <w:noProof/>
        </w:rPr>
        <w:drawing>
          <wp:inline distT="0" distB="0" distL="0" distR="0" wp14:anchorId="33FF7B9B" wp14:editId="022CAB9A">
            <wp:extent cx="5731510" cy="26733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673350"/>
                    </a:xfrm>
                    <a:prstGeom prst="rect">
                      <a:avLst/>
                    </a:prstGeom>
                  </pic:spPr>
                </pic:pic>
              </a:graphicData>
            </a:graphic>
          </wp:inline>
        </w:drawing>
      </w:r>
    </w:p>
    <w:p w14:paraId="2663052C" w14:textId="3FCA40A7" w:rsidR="005E36F4" w:rsidRDefault="005E36F4">
      <w:pPr>
        <w:rPr>
          <w:lang w:val="en-US"/>
        </w:rPr>
      </w:pPr>
    </w:p>
    <w:p w14:paraId="33E02EF2" w14:textId="6E00D586" w:rsidR="00FE3F82" w:rsidRDefault="00CE0283">
      <w:pPr>
        <w:rPr>
          <w:lang w:val="en-US"/>
        </w:rPr>
      </w:pPr>
      <w:r w:rsidRPr="00CE0283">
        <w:rPr>
          <w:noProof/>
        </w:rPr>
        <w:lastRenderedPageBreak/>
        <w:drawing>
          <wp:inline distT="0" distB="0" distL="0" distR="0" wp14:anchorId="741063E0" wp14:editId="0662DB56">
            <wp:extent cx="5731510" cy="3611245"/>
            <wp:effectExtent l="0" t="0" r="2540" b="825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41"/>
                    <a:stretch>
                      <a:fillRect/>
                    </a:stretch>
                  </pic:blipFill>
                  <pic:spPr>
                    <a:xfrm>
                      <a:off x="0" y="0"/>
                      <a:ext cx="5731510" cy="3611245"/>
                    </a:xfrm>
                    <a:prstGeom prst="rect">
                      <a:avLst/>
                    </a:prstGeom>
                  </pic:spPr>
                </pic:pic>
              </a:graphicData>
            </a:graphic>
          </wp:inline>
        </w:drawing>
      </w:r>
    </w:p>
    <w:p w14:paraId="425A4BAF" w14:textId="77777777" w:rsidR="00CE0283" w:rsidRDefault="00CE0283" w:rsidP="00CE0283">
      <w:pPr>
        <w:rPr>
          <w:lang w:val="en-US"/>
        </w:rPr>
      </w:pPr>
      <w:r>
        <w:rPr>
          <w:lang w:val="en-US"/>
        </w:rPr>
        <w:t xml:space="preserve">Comparing the Golden Mile Dolerite example with the magmatic Ni-S example shows the spectrum of fractionation signatures that can be expected in tholeiitic to komatiitic magmas. If ultramafic magmas have residence time in the mantle then crystal settling of olivine and pyroxenes will produce a composition that lies on the Fe-rich and Al-poor side of the komatiite line on the Jensen plot. These will have high Cr, high Sc and a high Sc/Al ratio. The remaining melt component must evolve towards a more </w:t>
      </w:r>
      <w:proofErr w:type="spellStart"/>
      <w:r>
        <w:rPr>
          <w:lang w:val="en-US"/>
        </w:rPr>
        <w:t>anorthositic</w:t>
      </w:r>
      <w:proofErr w:type="spellEnd"/>
      <w:r>
        <w:rPr>
          <w:lang w:val="en-US"/>
        </w:rPr>
        <w:t xml:space="preserve"> composition. If the starting composition was tholeiitic rather than ultramafic, then much of the plagioclase crystalizes before alkali feldspar, Fe-rich pyroxenes, Fe-</w:t>
      </w:r>
      <w:proofErr w:type="spellStart"/>
      <w:r>
        <w:rPr>
          <w:lang w:val="en-US"/>
        </w:rPr>
        <w:t>Ti</w:t>
      </w:r>
      <w:proofErr w:type="spellEnd"/>
      <w:r>
        <w:rPr>
          <w:lang w:val="en-US"/>
        </w:rPr>
        <w:t xml:space="preserve"> oxides and quartz. Physical separation of the early-crystallized plagioclase leads initially to more Fe-rich compositions and eventually to more alkali feldspars plus quartz. These will have much lower Sc/Al.</w:t>
      </w:r>
    </w:p>
    <w:p w14:paraId="083CFE13" w14:textId="08CF9527" w:rsidR="00CE0283" w:rsidRDefault="00CE0283" w:rsidP="00CE0283">
      <w:pPr>
        <w:rPr>
          <w:lang w:val="en-US"/>
        </w:rPr>
      </w:pPr>
      <w:r>
        <w:rPr>
          <w:lang w:val="en-US"/>
        </w:rPr>
        <w:t xml:space="preserve">It is important to consider the effect of volatile content in the melts. As already mentioned, a typical Archean tholeiite has enough water stabilize hornblende in preference to pyroxenes by the time it has reached 80% crystallization. </w:t>
      </w:r>
      <w:r w:rsidR="006263C0">
        <w:rPr>
          <w:lang w:val="en-US"/>
        </w:rPr>
        <w:t>During cooling, silicate tetrahedra in the melt begin to polymerize and form silicate chains and frameworks. Water and CO2 in the melt de-polymerize the silicates and help to maintain the proportion of non-bridging oxygens. The solubility of reduced sulfur in a magma is governed by the proportion of non-bridging oxygens, so sulfur solubility in a melt is intimately coupled with water and CO2 content. A corollary of this is that decreasing pressure and CO2 exsolution is likely to be a trigger for sulfide saturation in a magma.</w:t>
      </w:r>
    </w:p>
    <w:p w14:paraId="1020D967" w14:textId="2FF3589F" w:rsidR="00230F83" w:rsidRDefault="006263C0">
      <w:pPr>
        <w:rPr>
          <w:lang w:val="en-US"/>
        </w:rPr>
      </w:pPr>
      <w:r>
        <w:rPr>
          <w:lang w:val="en-US"/>
        </w:rPr>
        <w:t>A characteristic of Archean Cratons is that the unaltered basalt sequences are non-magnetic because they are dominantly ilmenite-bearing, but the later linear dyke systems that cut the Craton (</w:t>
      </w:r>
      <w:proofErr w:type="spellStart"/>
      <w:r>
        <w:rPr>
          <w:lang w:val="en-US"/>
        </w:rPr>
        <w:t>eg.</w:t>
      </w:r>
      <w:proofErr w:type="spellEnd"/>
      <w:r>
        <w:rPr>
          <w:lang w:val="en-US"/>
        </w:rPr>
        <w:t xml:space="preserve"> </w:t>
      </w:r>
      <w:r w:rsidR="00230F83">
        <w:rPr>
          <w:lang w:val="en-US"/>
        </w:rPr>
        <w:t xml:space="preserve">Proterozoic </w:t>
      </w:r>
      <w:r>
        <w:rPr>
          <w:lang w:val="en-US"/>
        </w:rPr>
        <w:t>d</w:t>
      </w:r>
      <w:r w:rsidR="00230F83">
        <w:rPr>
          <w:lang w:val="en-US"/>
        </w:rPr>
        <w:t>ykes</w:t>
      </w:r>
      <w:r>
        <w:rPr>
          <w:lang w:val="en-US"/>
        </w:rPr>
        <w:t xml:space="preserve"> cutting the </w:t>
      </w:r>
      <w:proofErr w:type="spellStart"/>
      <w:r>
        <w:rPr>
          <w:lang w:val="en-US"/>
        </w:rPr>
        <w:t>Yilgarn</w:t>
      </w:r>
      <w:proofErr w:type="spellEnd"/>
      <w:r>
        <w:rPr>
          <w:lang w:val="en-US"/>
        </w:rPr>
        <w:t>) are strongly magnetic (magnetite bearing)</w:t>
      </w:r>
      <w:r w:rsidR="00230F83">
        <w:rPr>
          <w:lang w:val="en-US"/>
        </w:rPr>
        <w:t xml:space="preserve">. </w:t>
      </w:r>
      <w:r>
        <w:rPr>
          <w:lang w:val="en-US"/>
        </w:rPr>
        <w:t xml:space="preserve">The late dykes have a fundamentally different composition and melting process. In the </w:t>
      </w:r>
      <w:proofErr w:type="spellStart"/>
      <w:r>
        <w:rPr>
          <w:lang w:val="en-US"/>
        </w:rPr>
        <w:t>Yilgarn</w:t>
      </w:r>
      <w:proofErr w:type="spellEnd"/>
      <w:r>
        <w:rPr>
          <w:lang w:val="en-US"/>
        </w:rPr>
        <w:t xml:space="preserve">, the </w:t>
      </w:r>
      <w:proofErr w:type="spellStart"/>
      <w:r>
        <w:rPr>
          <w:lang w:val="en-US"/>
        </w:rPr>
        <w:t>Proterozic</w:t>
      </w:r>
      <w:proofErr w:type="spellEnd"/>
      <w:r>
        <w:rPr>
          <w:lang w:val="en-US"/>
        </w:rPr>
        <w:t xml:space="preserve"> dykes have much high </w:t>
      </w:r>
      <w:proofErr w:type="spellStart"/>
      <w:r>
        <w:rPr>
          <w:lang w:val="en-US"/>
        </w:rPr>
        <w:t>Ti</w:t>
      </w:r>
      <w:proofErr w:type="spellEnd"/>
      <w:r>
        <w:rPr>
          <w:lang w:val="en-US"/>
        </w:rPr>
        <w:t xml:space="preserve"> and HFSE’s (Zr, Hf, Nb, Th, REE’s) than the extrusive Archean basalts. </w:t>
      </w:r>
      <w:r w:rsidR="00C149DC">
        <w:rPr>
          <w:lang w:val="en-US"/>
        </w:rPr>
        <w:t xml:space="preserve">They also have higher V/Sc, and are somewhat alkalic in their compositions, more like the Tertiary alkaline basalts from eastern Australia. The Proterozoic dykes are the products of a much lower degree of partial melting. </w:t>
      </w:r>
      <w:r w:rsidR="00230F83">
        <w:rPr>
          <w:lang w:val="en-US"/>
        </w:rPr>
        <w:br w:type="page"/>
      </w:r>
    </w:p>
    <w:p w14:paraId="0133C151" w14:textId="7B40FA5C" w:rsidR="00A660B5" w:rsidRPr="00F15F79" w:rsidRDefault="00A660B5" w:rsidP="00A660B5">
      <w:pPr>
        <w:pStyle w:val="Heading2"/>
        <w:rPr>
          <w:color w:val="auto"/>
          <w:lang w:val="en-US"/>
        </w:rPr>
      </w:pPr>
      <w:r>
        <w:rPr>
          <w:color w:val="auto"/>
          <w:lang w:val="en-US"/>
        </w:rPr>
        <w:lastRenderedPageBreak/>
        <w:t xml:space="preserve">Breakout </w:t>
      </w:r>
      <w:r w:rsidRPr="00230F83">
        <w:rPr>
          <w:color w:val="auto"/>
          <w:lang w:val="en-US"/>
        </w:rPr>
        <w:t>Discussion</w:t>
      </w:r>
      <w:r>
        <w:rPr>
          <w:color w:val="auto"/>
          <w:lang w:val="en-US"/>
        </w:rPr>
        <w:t xml:space="preserve"> #3; Compositions of Archean Granites</w:t>
      </w:r>
    </w:p>
    <w:p w14:paraId="09BC4A71" w14:textId="7FB351DF" w:rsidR="00D40AF9" w:rsidRDefault="00D40AF9" w:rsidP="00230F83">
      <w:pPr>
        <w:rPr>
          <w:lang w:val="en-US"/>
        </w:rPr>
      </w:pPr>
      <w:r>
        <w:rPr>
          <w:lang w:val="en-US"/>
        </w:rPr>
        <w:t xml:space="preserve">In a study of </w:t>
      </w:r>
      <w:proofErr w:type="spellStart"/>
      <w:r>
        <w:rPr>
          <w:lang w:val="en-US"/>
        </w:rPr>
        <w:t>Yilgarn</w:t>
      </w:r>
      <w:proofErr w:type="spellEnd"/>
      <w:r>
        <w:rPr>
          <w:lang w:val="en-US"/>
        </w:rPr>
        <w:t xml:space="preserve"> Granites, Kevin Cassidy and Dave Champion devised a classification scheme based on whole rock chemistry and mineralogy. They subdivided the granites into 5 categories;</w:t>
      </w:r>
    </w:p>
    <w:p w14:paraId="0CB7218C" w14:textId="14DCD43C" w:rsidR="00D40AF9" w:rsidRPr="00D40AF9" w:rsidRDefault="00D40AF9" w:rsidP="00D40AF9">
      <w:pPr>
        <w:pStyle w:val="ListParagraph"/>
        <w:numPr>
          <w:ilvl w:val="0"/>
          <w:numId w:val="1"/>
        </w:numPr>
        <w:rPr>
          <w:lang w:val="en-US"/>
        </w:rPr>
      </w:pPr>
      <w:r w:rsidRPr="00D40AF9">
        <w:rPr>
          <w:lang w:val="en-US"/>
        </w:rPr>
        <w:t>High Ca</w:t>
      </w:r>
    </w:p>
    <w:p w14:paraId="76C6CD3F" w14:textId="2792535B" w:rsidR="00D40AF9" w:rsidRPr="00D40AF9" w:rsidRDefault="00D40AF9" w:rsidP="00D40AF9">
      <w:pPr>
        <w:pStyle w:val="ListParagraph"/>
        <w:numPr>
          <w:ilvl w:val="0"/>
          <w:numId w:val="1"/>
        </w:numPr>
        <w:rPr>
          <w:lang w:val="en-US"/>
        </w:rPr>
      </w:pPr>
      <w:r w:rsidRPr="00D40AF9">
        <w:rPr>
          <w:lang w:val="en-US"/>
        </w:rPr>
        <w:t>Low Ca</w:t>
      </w:r>
    </w:p>
    <w:p w14:paraId="33949510" w14:textId="4F78C1EA" w:rsidR="00D40AF9" w:rsidRPr="00D40AF9" w:rsidRDefault="00D40AF9" w:rsidP="00D40AF9">
      <w:pPr>
        <w:pStyle w:val="ListParagraph"/>
        <w:numPr>
          <w:ilvl w:val="0"/>
          <w:numId w:val="1"/>
        </w:numPr>
        <w:rPr>
          <w:lang w:val="en-US"/>
        </w:rPr>
      </w:pPr>
      <w:r w:rsidRPr="00D40AF9">
        <w:rPr>
          <w:lang w:val="en-US"/>
        </w:rPr>
        <w:t>Mafic granites</w:t>
      </w:r>
    </w:p>
    <w:p w14:paraId="66B409A5" w14:textId="25FE046A" w:rsidR="00D40AF9" w:rsidRPr="00D40AF9" w:rsidRDefault="00D40AF9" w:rsidP="00D40AF9">
      <w:pPr>
        <w:pStyle w:val="ListParagraph"/>
        <w:numPr>
          <w:ilvl w:val="0"/>
          <w:numId w:val="1"/>
        </w:numPr>
        <w:rPr>
          <w:lang w:val="en-US"/>
        </w:rPr>
      </w:pPr>
      <w:r w:rsidRPr="00D40AF9">
        <w:rPr>
          <w:lang w:val="en-US"/>
        </w:rPr>
        <w:t>Syenites</w:t>
      </w:r>
    </w:p>
    <w:p w14:paraId="1CFC18E6" w14:textId="3359AA1D" w:rsidR="00D40AF9" w:rsidRPr="00D40AF9" w:rsidRDefault="00D40AF9" w:rsidP="00D40AF9">
      <w:pPr>
        <w:pStyle w:val="ListParagraph"/>
        <w:numPr>
          <w:ilvl w:val="0"/>
          <w:numId w:val="1"/>
        </w:numPr>
        <w:rPr>
          <w:lang w:val="en-US"/>
        </w:rPr>
      </w:pPr>
      <w:r w:rsidRPr="00D40AF9">
        <w:rPr>
          <w:lang w:val="en-US"/>
        </w:rPr>
        <w:t>High Field Strength Enriched (HFSE).</w:t>
      </w:r>
    </w:p>
    <w:p w14:paraId="399F72C0" w14:textId="73CF2C98" w:rsidR="00D40AF9" w:rsidRDefault="00D40AF9" w:rsidP="00230F83">
      <w:pPr>
        <w:rPr>
          <w:lang w:val="en-US"/>
        </w:rPr>
      </w:pPr>
      <w:r>
        <w:rPr>
          <w:lang w:val="en-US"/>
        </w:rPr>
        <w:t xml:space="preserve">Of these, the first 2 are by far the most common. The high Ca group is essentially hydrous, high pressure melting of an underplated mafic protolith. The low Ca granites are mid crustal melts. The mafic series granites are similar to the high Ca granites but have a high Mg content at a given SiO2 level. The syenites are alkali-feldspar rich magmas. The HFSE granites have elevated contents of Zr, Th, Nb, LREE’s </w:t>
      </w:r>
      <w:proofErr w:type="spellStart"/>
      <w:r>
        <w:rPr>
          <w:lang w:val="en-US"/>
        </w:rPr>
        <w:t>etc</w:t>
      </w:r>
      <w:proofErr w:type="spellEnd"/>
      <w:r>
        <w:rPr>
          <w:lang w:val="en-US"/>
        </w:rPr>
        <w:t>, concentrated via fractional crystallization. GSWA has been re-assaying the powders from the Champion and Cassidy study using the same analytical method as the Barcode project.</w:t>
      </w:r>
    </w:p>
    <w:p w14:paraId="6DEEB196" w14:textId="0E9F8DC7" w:rsidR="00361DCA" w:rsidRDefault="00361DCA" w:rsidP="00230F83">
      <w:pPr>
        <w:rPr>
          <w:lang w:val="en-US"/>
        </w:rPr>
      </w:pPr>
      <w:r w:rsidRPr="00361DCA">
        <w:rPr>
          <w:noProof/>
        </w:rPr>
        <w:drawing>
          <wp:inline distT="0" distB="0" distL="0" distR="0" wp14:anchorId="513BAFFB" wp14:editId="0FB78615">
            <wp:extent cx="4320000" cy="269365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2693658"/>
                    </a:xfrm>
                    <a:prstGeom prst="rect">
                      <a:avLst/>
                    </a:prstGeom>
                  </pic:spPr>
                </pic:pic>
              </a:graphicData>
            </a:graphic>
          </wp:inline>
        </w:drawing>
      </w:r>
    </w:p>
    <w:p w14:paraId="4D89CB66" w14:textId="22E42472" w:rsidR="004F602D" w:rsidRDefault="00361DCA" w:rsidP="00361DCA">
      <w:pPr>
        <w:rPr>
          <w:lang w:val="en-US"/>
        </w:rPr>
      </w:pPr>
      <w:r w:rsidRPr="00361DCA">
        <w:rPr>
          <w:lang w:val="en-US"/>
        </w:rPr>
        <w:t xml:space="preserve">The Sr/Y ratio </w:t>
      </w:r>
      <w:r w:rsidR="0084470C">
        <w:rPr>
          <w:lang w:val="en-US"/>
        </w:rPr>
        <w:t>is commonly</w:t>
      </w:r>
      <w:r>
        <w:rPr>
          <w:lang w:val="en-US"/>
        </w:rPr>
        <w:t xml:space="preserve"> regarded </w:t>
      </w:r>
      <w:r w:rsidRPr="00361DCA">
        <w:rPr>
          <w:lang w:val="en-US"/>
        </w:rPr>
        <w:t xml:space="preserve">as a proxy for the depth of melting </w:t>
      </w:r>
      <w:r w:rsidR="009510B5">
        <w:rPr>
          <w:lang w:val="en-US"/>
        </w:rPr>
        <w:t xml:space="preserve">(pressure). This is based </w:t>
      </w:r>
      <w:r>
        <w:rPr>
          <w:lang w:val="en-US"/>
        </w:rPr>
        <w:t xml:space="preserve">on the </w:t>
      </w:r>
      <w:r w:rsidR="00532B7D">
        <w:rPr>
          <w:lang w:val="en-US"/>
        </w:rPr>
        <w:t>fact</w:t>
      </w:r>
      <w:r>
        <w:rPr>
          <w:lang w:val="en-US"/>
        </w:rPr>
        <w:t xml:space="preserve"> that </w:t>
      </w:r>
      <w:r w:rsidR="00532B7D">
        <w:rPr>
          <w:lang w:val="en-US"/>
        </w:rPr>
        <w:t>high pressure and high water content lowers the melting point of plagioclase (</w:t>
      </w:r>
      <w:r>
        <w:rPr>
          <w:lang w:val="en-US"/>
        </w:rPr>
        <w:t>Sr-bearing</w:t>
      </w:r>
      <w:r w:rsidR="00532B7D">
        <w:rPr>
          <w:lang w:val="en-US"/>
        </w:rPr>
        <w:t>)</w:t>
      </w:r>
      <w:r>
        <w:rPr>
          <w:lang w:val="en-US"/>
        </w:rPr>
        <w:t xml:space="preserve">, </w:t>
      </w:r>
      <w:r w:rsidR="009510B5">
        <w:rPr>
          <w:lang w:val="en-US"/>
        </w:rPr>
        <w:t xml:space="preserve">and garnet, which retains Y, is stable in the source region at high pressure.  </w:t>
      </w:r>
      <w:r w:rsidR="00145C5E">
        <w:rPr>
          <w:lang w:val="en-US"/>
        </w:rPr>
        <w:t>More recent work on porphyry Cu magmas has shown that in porphyry systems, Y, HREE’s, LREE’s, Th and Nb behave as compatible elements (</w:t>
      </w:r>
      <w:proofErr w:type="spellStart"/>
      <w:r w:rsidR="00145C5E">
        <w:rPr>
          <w:lang w:val="en-US"/>
        </w:rPr>
        <w:t>ie</w:t>
      </w:r>
      <w:proofErr w:type="spellEnd"/>
      <w:r w:rsidR="00145C5E">
        <w:rPr>
          <w:lang w:val="en-US"/>
        </w:rPr>
        <w:t xml:space="preserve"> contents decrease with increasing SiO2), and all of these elements are taken up by titanite</w:t>
      </w:r>
      <w:r w:rsidR="009510B5">
        <w:rPr>
          <w:lang w:val="en-US"/>
        </w:rPr>
        <w:t xml:space="preserve"> (CaTiSiO5)</w:t>
      </w:r>
      <w:r w:rsidR="00145C5E">
        <w:rPr>
          <w:lang w:val="en-US"/>
        </w:rPr>
        <w:t xml:space="preserve">. </w:t>
      </w:r>
      <w:r w:rsidR="00532B7D">
        <w:rPr>
          <w:lang w:val="en-US"/>
        </w:rPr>
        <w:t xml:space="preserve">Titanite accounts for virtually all the Y and REE budget in porphyry magmas, </w:t>
      </w:r>
      <w:r w:rsidR="009510B5">
        <w:rPr>
          <w:lang w:val="en-US"/>
        </w:rPr>
        <w:t>therefore</w:t>
      </w:r>
      <w:r w:rsidR="00532B7D">
        <w:rPr>
          <w:lang w:val="en-US"/>
        </w:rPr>
        <w:t xml:space="preserve"> crystallization of titanite has a significant effect on whole rock Y values. </w:t>
      </w:r>
      <w:r w:rsidR="00145C5E">
        <w:rPr>
          <w:lang w:val="en-US"/>
        </w:rPr>
        <w:t>Porphyry Cu magmas develop in a pressure-temperature-</w:t>
      </w:r>
      <w:r w:rsidR="00145C5E" w:rsidRPr="00145C5E">
        <w:rPr>
          <w:lang w:val="en-US"/>
        </w:rPr>
        <w:t>a</w:t>
      </w:r>
      <w:r w:rsidR="00145C5E" w:rsidRPr="00145C5E">
        <w:rPr>
          <w:vertAlign w:val="subscript"/>
          <w:lang w:val="en-US"/>
        </w:rPr>
        <w:t>H2O</w:t>
      </w:r>
      <w:r w:rsidR="00145C5E">
        <w:rPr>
          <w:lang w:val="en-US"/>
        </w:rPr>
        <w:t xml:space="preserve"> window where titanite crystallization occurs before plagioclase. The “mafic” series granitoids through to high Ca granites in the Archean share this same characteristic with porphyry Cu magmas.</w:t>
      </w:r>
      <w:r w:rsidR="00532B7D">
        <w:rPr>
          <w:lang w:val="en-US"/>
        </w:rPr>
        <w:t xml:space="preserve"> </w:t>
      </w:r>
      <w:r w:rsidR="004F602D">
        <w:rPr>
          <w:lang w:val="en-US"/>
        </w:rPr>
        <w:t xml:space="preserve">In modern volcanic arcs, intrusions associated with porphyry Cu mineralization typically have SiO2 around 62 to 70% SiO2 and Sr/Y from 40 to </w:t>
      </w:r>
      <w:r w:rsidR="000928B9">
        <w:rPr>
          <w:lang w:val="en-US"/>
        </w:rPr>
        <w:t>120.</w:t>
      </w:r>
    </w:p>
    <w:p w14:paraId="53ACB109" w14:textId="6E1B9B63" w:rsidR="004F602D" w:rsidRDefault="004F602D" w:rsidP="00361DCA">
      <w:pPr>
        <w:rPr>
          <w:lang w:val="en-US"/>
        </w:rPr>
      </w:pPr>
      <w:r>
        <w:rPr>
          <w:lang w:val="en-US"/>
        </w:rPr>
        <w:t>A plot of SiO2 versus Eu* effectively subdivides the granite compositions in the same way as Sr/Y does. With few exceptions, rocks with Eu* &gt; 0.8 have Sr/Y &gt; 25.</w:t>
      </w:r>
      <w:r w:rsidR="000928B9">
        <w:rPr>
          <w:lang w:val="en-US"/>
        </w:rPr>
        <w:t xml:space="preserve"> The lack of plagioclase fractionation and the incorporation of Y into titanite are the controllers for the Sr/Y signature in these rocks. </w:t>
      </w:r>
      <w:r w:rsidR="0084470C">
        <w:rPr>
          <w:lang w:val="en-US"/>
        </w:rPr>
        <w:t xml:space="preserve">Note </w:t>
      </w:r>
      <w:r w:rsidR="0084470C">
        <w:rPr>
          <w:lang w:val="en-US"/>
        </w:rPr>
        <w:lastRenderedPageBreak/>
        <w:t>that on the basis of the Eu* and Sr/Y signature</w:t>
      </w:r>
      <w:r w:rsidR="000D14B3">
        <w:rPr>
          <w:lang w:val="en-US"/>
        </w:rPr>
        <w:t>, the high Ca group might be done away with; some of these rocks grouped with the “mafic series” and some with the Low Ca group.</w:t>
      </w:r>
    </w:p>
    <w:p w14:paraId="1A0EBCF9" w14:textId="6EC31858" w:rsidR="00361DCA" w:rsidRDefault="004F602D" w:rsidP="00361DCA">
      <w:pPr>
        <w:rPr>
          <w:lang w:val="en-US"/>
        </w:rPr>
      </w:pPr>
      <w:r w:rsidRPr="004F602D">
        <w:rPr>
          <w:noProof/>
        </w:rPr>
        <w:drawing>
          <wp:inline distT="0" distB="0" distL="0" distR="0" wp14:anchorId="704F19B1" wp14:editId="7F53407C">
            <wp:extent cx="4320000" cy="269365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2693658"/>
                    </a:xfrm>
                    <a:prstGeom prst="rect">
                      <a:avLst/>
                    </a:prstGeom>
                  </pic:spPr>
                </pic:pic>
              </a:graphicData>
            </a:graphic>
          </wp:inline>
        </w:drawing>
      </w:r>
    </w:p>
    <w:p w14:paraId="008CE19B" w14:textId="7FB806F7" w:rsidR="004F602D" w:rsidRDefault="000928B9">
      <w:pPr>
        <w:rPr>
          <w:lang w:val="en-US"/>
        </w:rPr>
      </w:pPr>
      <w:r>
        <w:rPr>
          <w:lang w:val="en-US"/>
        </w:rPr>
        <w:t>Another very distinctive characteristic that the mafic series intrusions have in common with porphyry Cu magmas is the V/Sc ratio. Porphyry Cu magmas develop in a pressure-temperature-</w:t>
      </w:r>
      <w:r w:rsidRPr="00145C5E">
        <w:rPr>
          <w:lang w:val="en-US"/>
        </w:rPr>
        <w:t>a</w:t>
      </w:r>
      <w:r w:rsidRPr="00145C5E">
        <w:rPr>
          <w:vertAlign w:val="subscript"/>
          <w:lang w:val="en-US"/>
        </w:rPr>
        <w:t>H2O</w:t>
      </w:r>
      <w:r>
        <w:rPr>
          <w:lang w:val="en-US"/>
        </w:rPr>
        <w:t xml:space="preserve"> window where hornblende crystallization occurs before magnetite. V becomes less compatible in silicates as magmas become more oxidized, so hornblende crystallization removes Sc from the melt at a faster rate than it removes V. The opposite is true at lower pressure and lower H2O, where magnetite removes V faster than Sc. Therefore the V/Sc plot shows a similar pattern to the Sr/Y plot, but related to different minerals. </w:t>
      </w:r>
      <w:r w:rsidR="00944845">
        <w:rPr>
          <w:lang w:val="en-US"/>
        </w:rPr>
        <w:t>Thus a first-pass subdivision of magma types should be made on the basis of whether the melts have fractionated hornblende + titanite or plagioclase + magnetite.</w:t>
      </w:r>
    </w:p>
    <w:p w14:paraId="4415BD3E" w14:textId="77777777" w:rsidR="00944845" w:rsidRDefault="004F602D">
      <w:pPr>
        <w:rPr>
          <w:lang w:val="en-US"/>
        </w:rPr>
      </w:pPr>
      <w:r w:rsidRPr="004F602D">
        <w:rPr>
          <w:noProof/>
        </w:rPr>
        <w:drawing>
          <wp:inline distT="0" distB="0" distL="0" distR="0" wp14:anchorId="1E99FD85" wp14:editId="37CA96B5">
            <wp:extent cx="4320000" cy="2693658"/>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2693658"/>
                    </a:xfrm>
                    <a:prstGeom prst="rect">
                      <a:avLst/>
                    </a:prstGeom>
                  </pic:spPr>
                </pic:pic>
              </a:graphicData>
            </a:graphic>
          </wp:inline>
        </w:drawing>
      </w:r>
    </w:p>
    <w:p w14:paraId="74E581AB" w14:textId="2D5F41E4" w:rsidR="00D40AF9" w:rsidRDefault="00944845">
      <w:pPr>
        <w:rPr>
          <w:lang w:val="en-US"/>
        </w:rPr>
      </w:pPr>
      <w:r>
        <w:rPr>
          <w:lang w:val="en-US"/>
        </w:rPr>
        <w:t xml:space="preserve">Alkalic magmas are more widespread in the </w:t>
      </w:r>
      <w:proofErr w:type="spellStart"/>
      <w:r>
        <w:rPr>
          <w:lang w:val="en-US"/>
        </w:rPr>
        <w:t>Yilgarn</w:t>
      </w:r>
      <w:proofErr w:type="spellEnd"/>
      <w:r>
        <w:rPr>
          <w:lang w:val="en-US"/>
        </w:rPr>
        <w:t xml:space="preserve"> than recognized in the literature or recognized </w:t>
      </w:r>
      <w:r w:rsidR="002943B1">
        <w:rPr>
          <w:lang w:val="en-US"/>
        </w:rPr>
        <w:t>b</w:t>
      </w:r>
      <w:r>
        <w:rPr>
          <w:lang w:val="en-US"/>
        </w:rPr>
        <w:t xml:space="preserve">y mining companies. Alkalic magmas are usually defined as quartz-undersaturated melts </w:t>
      </w:r>
      <w:r w:rsidR="00EE68F5">
        <w:rPr>
          <w:lang w:val="en-US"/>
        </w:rPr>
        <w:t xml:space="preserve">with high K and Na, such that K2O + Na2O (molar) is just less than Al2O3. Alkaline </w:t>
      </w:r>
      <w:r w:rsidR="00EE68F5" w:rsidRPr="00EE68F5">
        <w:rPr>
          <w:lang w:val="en-US"/>
        </w:rPr>
        <w:t xml:space="preserve">magmas </w:t>
      </w:r>
      <w:r w:rsidR="00EE68F5">
        <w:rPr>
          <w:lang w:val="en-US"/>
        </w:rPr>
        <w:t xml:space="preserve">typically have high </w:t>
      </w:r>
      <w:proofErr w:type="spellStart"/>
      <w:r w:rsidR="00EE68F5">
        <w:rPr>
          <w:lang w:val="en-US"/>
        </w:rPr>
        <w:t>Ti</w:t>
      </w:r>
      <w:proofErr w:type="spellEnd"/>
      <w:r w:rsidR="00EE68F5">
        <w:rPr>
          <w:lang w:val="en-US"/>
        </w:rPr>
        <w:t xml:space="preserve">, P, Th, LREE’s and Zr. </w:t>
      </w:r>
      <w:r w:rsidR="00EE68F5" w:rsidRPr="00EE68F5">
        <w:rPr>
          <w:lang w:val="en-US"/>
        </w:rPr>
        <w:t xml:space="preserve">This is attributed to a very low degree of partial melting of </w:t>
      </w:r>
      <w:r w:rsidR="00EE68F5">
        <w:rPr>
          <w:lang w:val="en-US"/>
        </w:rPr>
        <w:t xml:space="preserve">a metasomatized </w:t>
      </w:r>
      <w:r w:rsidR="00EE68F5" w:rsidRPr="00EE68F5">
        <w:rPr>
          <w:lang w:val="en-US"/>
        </w:rPr>
        <w:t>source rock</w:t>
      </w:r>
      <w:r w:rsidR="00EE68F5">
        <w:rPr>
          <w:lang w:val="en-US"/>
        </w:rPr>
        <w:t xml:space="preserve">. Alkalic magmas typically have higher V/Sc values. </w:t>
      </w:r>
      <w:r w:rsidR="000D14B3">
        <w:rPr>
          <w:lang w:val="en-US"/>
        </w:rPr>
        <w:t xml:space="preserve">The alkalic to mafic series rocks form a complete spectrum. Compared with the mafic series rocks, genuine alkalic magmas </w:t>
      </w:r>
      <w:r w:rsidR="002943B1">
        <w:rPr>
          <w:lang w:val="en-US"/>
        </w:rPr>
        <w:t xml:space="preserve">do not show </w:t>
      </w:r>
      <w:r w:rsidR="002943B1">
        <w:rPr>
          <w:lang w:val="en-US"/>
        </w:rPr>
        <w:lastRenderedPageBreak/>
        <w:t xml:space="preserve">the typical HFSE depletion associated with titanite fractionation. One possible explanation for this is with the low degree of partial melting, </w:t>
      </w:r>
      <w:r w:rsidR="001350CA">
        <w:rPr>
          <w:lang w:val="en-US"/>
        </w:rPr>
        <w:t>alkali feldspars melt first and the alkalic magmas contain lower Ca, probably to the extent that they never crystallize titanite. Rocks that are strongly alkalic also have a higher Zr/Hf ratio. Almost all rocks with SiO2&lt;70% have Zr/Hf around 36. My interpretation of the high Zr/Hf ratio in strongly alkalic rocks (up to 50) is that these rocks have much higher Zr in Si-undersaturated melts, hence crystallize ZrO2 (baddeleyite) before zircons.</w:t>
      </w:r>
    </w:p>
    <w:p w14:paraId="2FA725D7" w14:textId="28CEB7E6" w:rsidR="001350CA" w:rsidRDefault="001350CA">
      <w:pPr>
        <w:rPr>
          <w:lang w:val="en-US"/>
        </w:rPr>
      </w:pPr>
      <w:r w:rsidRPr="001350CA">
        <w:rPr>
          <w:noProof/>
        </w:rPr>
        <w:drawing>
          <wp:inline distT="0" distB="0" distL="0" distR="0" wp14:anchorId="67BD332A" wp14:editId="2BE5C54C">
            <wp:extent cx="4320000" cy="2989922"/>
            <wp:effectExtent l="0" t="0" r="444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2989922"/>
                    </a:xfrm>
                    <a:prstGeom prst="rect">
                      <a:avLst/>
                    </a:prstGeom>
                  </pic:spPr>
                </pic:pic>
              </a:graphicData>
            </a:graphic>
          </wp:inline>
        </w:drawing>
      </w:r>
    </w:p>
    <w:p w14:paraId="7A80C482" w14:textId="1211EF26" w:rsidR="00DA1333" w:rsidRDefault="00DA1333">
      <w:pPr>
        <w:rPr>
          <w:lang w:val="en-US"/>
        </w:rPr>
      </w:pPr>
      <w:r>
        <w:rPr>
          <w:lang w:val="en-US"/>
        </w:rPr>
        <w:t xml:space="preserve">Because of the effect of titanite fractionation cause compatible </w:t>
      </w:r>
      <w:proofErr w:type="spellStart"/>
      <w:r>
        <w:rPr>
          <w:lang w:val="en-US"/>
        </w:rPr>
        <w:t>behaviour</w:t>
      </w:r>
      <w:proofErr w:type="spellEnd"/>
      <w:r>
        <w:rPr>
          <w:lang w:val="en-US"/>
        </w:rPr>
        <w:t xml:space="preserve"> of the HFSE’s, porphyry Cu magmas typically have Th values around 2 to 4ppm, Nb around 2 to 4ppm, </w:t>
      </w:r>
      <w:r w:rsidR="00563912">
        <w:rPr>
          <w:lang w:val="en-US"/>
        </w:rPr>
        <w:t>and Ce around 20 to 40 ppm. Again, these are very comparable to the magic series intrusions.</w:t>
      </w:r>
    </w:p>
    <w:p w14:paraId="405C4A5A" w14:textId="521F7068" w:rsidR="00DA1333" w:rsidRDefault="00DA1333">
      <w:pPr>
        <w:rPr>
          <w:lang w:val="en-US"/>
        </w:rPr>
      </w:pPr>
      <w:r w:rsidRPr="00DA1333">
        <w:rPr>
          <w:noProof/>
        </w:rPr>
        <w:drawing>
          <wp:inline distT="0" distB="0" distL="0" distR="0" wp14:anchorId="1B281CC7" wp14:editId="2052005C">
            <wp:extent cx="5731510" cy="284988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849880"/>
                    </a:xfrm>
                    <a:prstGeom prst="rect">
                      <a:avLst/>
                    </a:prstGeom>
                  </pic:spPr>
                </pic:pic>
              </a:graphicData>
            </a:graphic>
          </wp:inline>
        </w:drawing>
      </w:r>
    </w:p>
    <w:p w14:paraId="1F808A1C" w14:textId="654CB6C2" w:rsidR="00135C5F" w:rsidRDefault="00135C5F">
      <w:pPr>
        <w:rPr>
          <w:lang w:val="en-US"/>
        </w:rPr>
      </w:pPr>
      <w:r>
        <w:rPr>
          <w:lang w:val="en-US"/>
        </w:rPr>
        <w:t xml:space="preserve">I think the Mafic series and high Ca granites defined by Champion and Cassidy are parts of the same spectrum, so I would group these together. The high HFSE group is </w:t>
      </w:r>
      <w:r w:rsidR="009510B5">
        <w:rPr>
          <w:lang w:val="en-US"/>
        </w:rPr>
        <w:t xml:space="preserve">the most fractionated end of the </w:t>
      </w:r>
      <w:r>
        <w:rPr>
          <w:lang w:val="en-US"/>
        </w:rPr>
        <w:t xml:space="preserve">low Ca suite and I would group these together. The most strongly fractionated subset of the low Ca granites have SiO2 values above 70% and have fractional crystallization of zircons to the point where </w:t>
      </w:r>
      <w:r>
        <w:rPr>
          <w:lang w:val="en-US"/>
        </w:rPr>
        <w:lastRenderedPageBreak/>
        <w:t xml:space="preserve">Zr/Hf &lt; 30. It makes sense to select these as a group rather that the high HFSE category, although these are very similar. </w:t>
      </w:r>
    </w:p>
    <w:p w14:paraId="1D71AA61" w14:textId="75F0952D" w:rsidR="001350CA" w:rsidRDefault="001350CA">
      <w:pPr>
        <w:rPr>
          <w:lang w:val="en-US"/>
        </w:rPr>
      </w:pPr>
      <w:r>
        <w:rPr>
          <w:lang w:val="en-US"/>
        </w:rPr>
        <w:t xml:space="preserve">I would recommend classifying intermediate to felsic Archean magma types into </w:t>
      </w:r>
      <w:r w:rsidR="00135C5F">
        <w:rPr>
          <w:lang w:val="en-US"/>
        </w:rPr>
        <w:t>4</w:t>
      </w:r>
      <w:r>
        <w:rPr>
          <w:lang w:val="en-US"/>
        </w:rPr>
        <w:t xml:space="preserve"> categories, which broadly reflect the depth (pressure) and water content during melting and the degree of partial melting; </w:t>
      </w:r>
      <w:r w:rsidR="00135C5F">
        <w:rPr>
          <w:lang w:val="en-US"/>
        </w:rPr>
        <w:t>High Ca (hornblende diorites)</w:t>
      </w:r>
      <w:r>
        <w:rPr>
          <w:lang w:val="en-US"/>
        </w:rPr>
        <w:t xml:space="preserve">, </w:t>
      </w:r>
      <w:r w:rsidR="00135C5F">
        <w:rPr>
          <w:lang w:val="en-US"/>
        </w:rPr>
        <w:t>Alkalic melts, Low Ca (c</w:t>
      </w:r>
      <w:r>
        <w:rPr>
          <w:lang w:val="en-US"/>
        </w:rPr>
        <w:t>rustal melts</w:t>
      </w:r>
      <w:r w:rsidR="00135C5F">
        <w:rPr>
          <w:lang w:val="en-US"/>
        </w:rPr>
        <w:t>)</w:t>
      </w:r>
      <w:r>
        <w:rPr>
          <w:lang w:val="en-US"/>
        </w:rPr>
        <w:t xml:space="preserve"> and </w:t>
      </w:r>
      <w:r w:rsidR="00135C5F">
        <w:rPr>
          <w:lang w:val="en-US"/>
        </w:rPr>
        <w:t>fractionated low Ca</w:t>
      </w:r>
      <w:r>
        <w:rPr>
          <w:lang w:val="en-US"/>
        </w:rPr>
        <w:t xml:space="preserve">. </w:t>
      </w:r>
      <w:r w:rsidR="00563912">
        <w:rPr>
          <w:lang w:val="en-US"/>
        </w:rPr>
        <w:t xml:space="preserve">The following table provides some guidelines for making these classifications. </w:t>
      </w:r>
    </w:p>
    <w:p w14:paraId="567380DE" w14:textId="2823B079" w:rsidR="001350CA" w:rsidRDefault="001350CA">
      <w:pPr>
        <w:rPr>
          <w:lang w:val="en-US"/>
        </w:rPr>
      </w:pPr>
      <w:r>
        <w:rPr>
          <w:lang w:val="en-US"/>
        </w:rPr>
        <w:t xml:space="preserve"> </w:t>
      </w:r>
    </w:p>
    <w:p w14:paraId="070EABB2" w14:textId="5A27841E" w:rsidR="00944845" w:rsidRDefault="00DA1333">
      <w:pPr>
        <w:rPr>
          <w:lang w:val="en-US"/>
        </w:rPr>
      </w:pPr>
      <w:r w:rsidRPr="00DA1333">
        <w:rPr>
          <w:noProof/>
        </w:rPr>
        <w:drawing>
          <wp:inline distT="0" distB="0" distL="0" distR="0" wp14:anchorId="235FF485" wp14:editId="5C429B04">
            <wp:extent cx="5731510" cy="207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077720"/>
                    </a:xfrm>
                    <a:prstGeom prst="rect">
                      <a:avLst/>
                    </a:prstGeom>
                    <a:noFill/>
                    <a:ln>
                      <a:noFill/>
                    </a:ln>
                  </pic:spPr>
                </pic:pic>
              </a:graphicData>
            </a:graphic>
          </wp:inline>
        </w:drawing>
      </w:r>
    </w:p>
    <w:p w14:paraId="39045DAC" w14:textId="2AB4D76A" w:rsidR="00563912" w:rsidRDefault="00563912">
      <w:pPr>
        <w:rPr>
          <w:lang w:val="en-US"/>
        </w:rPr>
      </w:pPr>
      <w:r>
        <w:rPr>
          <w:lang w:val="en-US"/>
        </w:rPr>
        <w:t xml:space="preserve">Although there is a continuum between the compositions of the hornblende diorites and alkalic magmas, in the Eastern Goldfields of the </w:t>
      </w:r>
      <w:proofErr w:type="spellStart"/>
      <w:r>
        <w:rPr>
          <w:lang w:val="en-US"/>
        </w:rPr>
        <w:t>Yilgarn</w:t>
      </w:r>
      <w:proofErr w:type="spellEnd"/>
      <w:r>
        <w:rPr>
          <w:lang w:val="en-US"/>
        </w:rPr>
        <w:t xml:space="preserve"> Craton they have distinctly different geological settings and timing.  </w:t>
      </w:r>
      <w:r w:rsidR="004571E2">
        <w:rPr>
          <w:lang w:val="en-US"/>
        </w:rPr>
        <w:t xml:space="preserve">In the Kalgoorlie region the cessation of extrusive volcanism coincided with a deformation event which lead to uplift and erosion of the greenstone sequence and deposition of epiclastic sediments above an erosional unconformity. The hornblende diorites were emplaced prior to this event. However all of the intrusions emplaced within the epiclastic sediments have an </w:t>
      </w:r>
      <w:r w:rsidR="009510B5">
        <w:rPr>
          <w:lang w:val="en-US"/>
        </w:rPr>
        <w:t>alkalic signature</w:t>
      </w:r>
      <w:r w:rsidR="004571E2">
        <w:rPr>
          <w:lang w:val="en-US"/>
        </w:rPr>
        <w:t xml:space="preserve">. </w:t>
      </w:r>
    </w:p>
    <w:p w14:paraId="3FF52EDE" w14:textId="74C8C666" w:rsidR="004571E2" w:rsidRDefault="004571E2">
      <w:pPr>
        <w:rPr>
          <w:lang w:val="en-US"/>
        </w:rPr>
      </w:pPr>
      <w:r>
        <w:rPr>
          <w:lang w:val="en-US"/>
        </w:rPr>
        <w:t xml:space="preserve">The significance of high Sr/Y and high V/Sc is that these are very hydrous melts. However that is only part of the story. The really important ingredient in the intrusions associated with gold mineralization is a high S content. A metasomatized mantle source is implicated in this. In the hornblende diorites and alkalic magmas, a proxy for this is the Ba content. In these rocks, a threshold of &gt;1000ppm Ba is significant. The crustal melts are already potassium-rich hence high Ba. </w:t>
      </w:r>
      <w:r w:rsidR="00B82047">
        <w:rPr>
          <w:lang w:val="en-US"/>
        </w:rPr>
        <w:t>A few crustal melts are linked to mineralization, and these tend to be very highly fractionated (analogous to reduced intrusion-related gold systems).</w:t>
      </w:r>
    </w:p>
    <w:p w14:paraId="55703981" w14:textId="2127AFDD" w:rsidR="000D14B3" w:rsidRDefault="000D14B3">
      <w:pPr>
        <w:rPr>
          <w:lang w:val="en-US"/>
        </w:rPr>
      </w:pPr>
      <w:r w:rsidRPr="004571E2">
        <w:rPr>
          <w:noProof/>
        </w:rPr>
        <w:lastRenderedPageBreak/>
        <w:drawing>
          <wp:inline distT="0" distB="0" distL="0" distR="0" wp14:anchorId="0A9286DB" wp14:editId="324C43AB">
            <wp:extent cx="4320000" cy="2488810"/>
            <wp:effectExtent l="0" t="0" r="4445" b="6985"/>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48"/>
                    <a:stretch>
                      <a:fillRect/>
                    </a:stretch>
                  </pic:blipFill>
                  <pic:spPr>
                    <a:xfrm>
                      <a:off x="0" y="0"/>
                      <a:ext cx="4320000" cy="2488810"/>
                    </a:xfrm>
                    <a:prstGeom prst="rect">
                      <a:avLst/>
                    </a:prstGeom>
                  </pic:spPr>
                </pic:pic>
              </a:graphicData>
            </a:graphic>
          </wp:inline>
        </w:drawing>
      </w:r>
    </w:p>
    <w:p w14:paraId="65E22294" w14:textId="798A37C6" w:rsidR="000D14B3" w:rsidRDefault="000D14B3">
      <w:pPr>
        <w:rPr>
          <w:lang w:val="en-US"/>
        </w:rPr>
      </w:pPr>
    </w:p>
    <w:p w14:paraId="50AAB021" w14:textId="3CEE3026" w:rsidR="000D14B3" w:rsidRPr="00D40AF9" w:rsidRDefault="009510B5" w:rsidP="000D14B3">
      <w:pPr>
        <w:pStyle w:val="Heading1"/>
        <w:rPr>
          <w:color w:val="auto"/>
          <w:lang w:val="en-US"/>
        </w:rPr>
      </w:pPr>
      <w:r>
        <w:rPr>
          <w:color w:val="auto"/>
          <w:lang w:val="en-US"/>
        </w:rPr>
        <w:t xml:space="preserve">Part 2. </w:t>
      </w:r>
      <w:r w:rsidR="000D14B3" w:rsidRPr="00D40AF9">
        <w:rPr>
          <w:color w:val="auto"/>
          <w:lang w:val="en-US"/>
        </w:rPr>
        <w:t>Classifying Felsic to Intermediate Composition Rocks.</w:t>
      </w:r>
    </w:p>
    <w:p w14:paraId="40992ADE" w14:textId="330BAE33" w:rsidR="00B56C7D" w:rsidRDefault="0021562C">
      <w:pPr>
        <w:rPr>
          <w:lang w:val="en-US"/>
        </w:rPr>
      </w:pPr>
      <w:r>
        <w:rPr>
          <w:lang w:val="en-US"/>
        </w:rPr>
        <w:t xml:space="preserve">In the </w:t>
      </w:r>
      <w:r w:rsidR="009510B5">
        <w:rPr>
          <w:lang w:val="en-US"/>
        </w:rPr>
        <w:t>Attribute</w:t>
      </w:r>
      <w:r>
        <w:rPr>
          <w:lang w:val="en-US"/>
        </w:rPr>
        <w:t xml:space="preserve"> Manager, use the Visibility tock boxes to turn off all of the mafic to ultramafic composition rocks. The remaining data points should now be just the andesitic to rhyolitic compositions. Note that this includes intrusive, extrusive and volcaniclastic rocks, so we are considering rock </w:t>
      </w:r>
      <w:r w:rsidRPr="0021562C">
        <w:rPr>
          <w:i/>
          <w:iCs/>
          <w:lang w:val="en-US"/>
        </w:rPr>
        <w:t>compositions</w:t>
      </w:r>
      <w:r>
        <w:rPr>
          <w:lang w:val="en-US"/>
        </w:rPr>
        <w:t xml:space="preserve">, NOT rock types. Go to Diagram, Rock Classification, Major Elements, Tas Volcanic. This is a template of rock compositions based on </w:t>
      </w:r>
      <w:r w:rsidR="00EB5624">
        <w:rPr>
          <w:lang w:val="en-US"/>
        </w:rPr>
        <w:t xml:space="preserve">total alkalis versus SiO2. I would NOT recommend using this diagram because these elements are all mobile during hydrothermal alteration, but in this case I am using it to illustrate a point. </w:t>
      </w:r>
    </w:p>
    <w:p w14:paraId="46F3CA32" w14:textId="05272988" w:rsidR="0021562C" w:rsidRDefault="0021562C">
      <w:pPr>
        <w:rPr>
          <w:lang w:val="en-US"/>
        </w:rPr>
      </w:pPr>
      <w:r w:rsidRPr="0021562C">
        <w:rPr>
          <w:noProof/>
        </w:rPr>
        <w:drawing>
          <wp:inline distT="0" distB="0" distL="0" distR="0" wp14:anchorId="76862AEA" wp14:editId="061BEA0D">
            <wp:extent cx="3600000" cy="3483138"/>
            <wp:effectExtent l="0" t="0" r="635" b="3175"/>
            <wp:docPr id="14" name="Picture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medium confidence"/>
                    <pic:cNvPicPr/>
                  </pic:nvPicPr>
                  <pic:blipFill>
                    <a:blip r:embed="rId49"/>
                    <a:stretch>
                      <a:fillRect/>
                    </a:stretch>
                  </pic:blipFill>
                  <pic:spPr>
                    <a:xfrm>
                      <a:off x="0" y="0"/>
                      <a:ext cx="3600000" cy="3483138"/>
                    </a:xfrm>
                    <a:prstGeom prst="rect">
                      <a:avLst/>
                    </a:prstGeom>
                  </pic:spPr>
                </pic:pic>
              </a:graphicData>
            </a:graphic>
          </wp:inline>
        </w:drawing>
      </w:r>
    </w:p>
    <w:p w14:paraId="4A71013A" w14:textId="50296C79" w:rsidR="00EB5624" w:rsidRDefault="00EB5624">
      <w:pPr>
        <w:rPr>
          <w:lang w:val="en-US"/>
        </w:rPr>
      </w:pPr>
      <w:r>
        <w:rPr>
          <w:lang w:val="en-US"/>
        </w:rPr>
        <w:t xml:space="preserve">In the Attribute Manager, make 3 new </w:t>
      </w:r>
      <w:proofErr w:type="spellStart"/>
      <w:r>
        <w:rPr>
          <w:lang w:val="en-US"/>
        </w:rPr>
        <w:t>colour</w:t>
      </w:r>
      <w:proofErr w:type="spellEnd"/>
      <w:r>
        <w:rPr>
          <w:lang w:val="en-US"/>
        </w:rPr>
        <w:t xml:space="preserve"> categories. Name them andesite, dacite and rhyolite. For simplicity, assign the points up to 63% SiO2 into the andesite group, 63 to 70% into the dacite group, and over 70% SiO2 into the rhyolite group.</w:t>
      </w:r>
    </w:p>
    <w:p w14:paraId="180E0F0E" w14:textId="6E644B3F" w:rsidR="00EB5624" w:rsidRDefault="00EB5624">
      <w:pPr>
        <w:rPr>
          <w:lang w:val="en-US"/>
        </w:rPr>
      </w:pPr>
    </w:p>
    <w:p w14:paraId="18A7B4D0" w14:textId="6226A7ED" w:rsidR="00EB5624" w:rsidRDefault="00EB5624">
      <w:pPr>
        <w:rPr>
          <w:lang w:val="en-US"/>
        </w:rPr>
      </w:pPr>
      <w:r w:rsidRPr="00EB5624">
        <w:rPr>
          <w:noProof/>
          <w:lang w:val="en-US"/>
        </w:rPr>
        <w:drawing>
          <wp:inline distT="0" distB="0" distL="0" distR="0" wp14:anchorId="4C2AD8AB" wp14:editId="2F6909DE">
            <wp:extent cx="4320000" cy="3438516"/>
            <wp:effectExtent l="0" t="0" r="4445"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50"/>
                    <a:stretch>
                      <a:fillRect/>
                    </a:stretch>
                  </pic:blipFill>
                  <pic:spPr>
                    <a:xfrm>
                      <a:off x="0" y="0"/>
                      <a:ext cx="4320000" cy="3438516"/>
                    </a:xfrm>
                    <a:prstGeom prst="rect">
                      <a:avLst/>
                    </a:prstGeom>
                  </pic:spPr>
                </pic:pic>
              </a:graphicData>
            </a:graphic>
          </wp:inline>
        </w:drawing>
      </w:r>
    </w:p>
    <w:p w14:paraId="0005214B" w14:textId="0C6EA3EA" w:rsidR="009510B5" w:rsidRDefault="00AB08DA">
      <w:pPr>
        <w:rPr>
          <w:lang w:val="en-US"/>
        </w:rPr>
      </w:pPr>
      <w:r>
        <w:rPr>
          <w:lang w:val="en-US"/>
        </w:rPr>
        <w:t xml:space="preserve">Select SiO2 and Sc. Make an </w:t>
      </w:r>
      <w:proofErr w:type="spellStart"/>
      <w:r>
        <w:rPr>
          <w:lang w:val="en-US"/>
        </w:rPr>
        <w:t>Xy</w:t>
      </w:r>
      <w:proofErr w:type="spellEnd"/>
      <w:r>
        <w:rPr>
          <w:lang w:val="en-US"/>
        </w:rPr>
        <w:t xml:space="preserve"> scatterplot. Note the correlation between SiO2 and Sc. </w:t>
      </w:r>
      <w:r w:rsidR="00AF5798">
        <w:rPr>
          <w:lang w:val="en-US"/>
        </w:rPr>
        <w:t>In data derived from 4 acid digest ICP, where we have Sc analyses but not SiO2, Sc can be used to make alternative versions of Harker plots.</w:t>
      </w:r>
    </w:p>
    <w:p w14:paraId="26C56C3C" w14:textId="3FB7528E" w:rsidR="00EB5624" w:rsidRDefault="0032576F">
      <w:pPr>
        <w:rPr>
          <w:lang w:val="en-US"/>
        </w:rPr>
      </w:pPr>
      <w:r w:rsidRPr="0032576F">
        <w:rPr>
          <w:noProof/>
          <w:lang w:val="en-US"/>
        </w:rPr>
        <w:drawing>
          <wp:inline distT="0" distB="0" distL="0" distR="0" wp14:anchorId="5FE427A7" wp14:editId="593ACC2A">
            <wp:extent cx="4320000" cy="2693658"/>
            <wp:effectExtent l="0" t="0" r="4445" b="0"/>
            <wp:docPr id="61" name="Picture 6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scatter chart&#10;&#10;Description automatically generated"/>
                    <pic:cNvPicPr/>
                  </pic:nvPicPr>
                  <pic:blipFill>
                    <a:blip r:embed="rId51"/>
                    <a:stretch>
                      <a:fillRect/>
                    </a:stretch>
                  </pic:blipFill>
                  <pic:spPr>
                    <a:xfrm>
                      <a:off x="0" y="0"/>
                      <a:ext cx="4320000" cy="2693658"/>
                    </a:xfrm>
                    <a:prstGeom prst="rect">
                      <a:avLst/>
                    </a:prstGeom>
                  </pic:spPr>
                </pic:pic>
              </a:graphicData>
            </a:graphic>
          </wp:inline>
        </w:drawing>
      </w:r>
    </w:p>
    <w:p w14:paraId="0D0A1971" w14:textId="77B24753" w:rsidR="000861B6" w:rsidRDefault="000861B6">
      <w:pPr>
        <w:rPr>
          <w:lang w:val="en-US"/>
        </w:rPr>
      </w:pPr>
      <w:r>
        <w:rPr>
          <w:lang w:val="en-US"/>
        </w:rPr>
        <w:t xml:space="preserve">The next recommended steps are to generate </w:t>
      </w:r>
      <w:proofErr w:type="spellStart"/>
      <w:r>
        <w:rPr>
          <w:lang w:val="en-US"/>
        </w:rPr>
        <w:t>Xy</w:t>
      </w:r>
      <w:proofErr w:type="spellEnd"/>
      <w:r>
        <w:rPr>
          <w:lang w:val="en-US"/>
        </w:rPr>
        <w:t xml:space="preserve"> plots of;</w:t>
      </w:r>
    </w:p>
    <w:p w14:paraId="76E6EF9E" w14:textId="731C6738" w:rsidR="000861B6" w:rsidRDefault="000861B6">
      <w:pPr>
        <w:rPr>
          <w:lang w:val="en-US"/>
        </w:rPr>
      </w:pPr>
      <w:r>
        <w:rPr>
          <w:lang w:val="en-US"/>
        </w:rPr>
        <w:t xml:space="preserve">Sc vs </w:t>
      </w:r>
      <w:proofErr w:type="spellStart"/>
      <w:r>
        <w:rPr>
          <w:lang w:val="en-US"/>
        </w:rPr>
        <w:t>Ti</w:t>
      </w:r>
      <w:proofErr w:type="spellEnd"/>
      <w:r>
        <w:rPr>
          <w:lang w:val="en-US"/>
        </w:rPr>
        <w:t>, Th, V, Zr, Nb and P, then</w:t>
      </w:r>
    </w:p>
    <w:p w14:paraId="23B0BADE" w14:textId="0D4A4799" w:rsidR="000861B6" w:rsidRDefault="00B246D3">
      <w:pPr>
        <w:rPr>
          <w:lang w:val="en-US"/>
        </w:rPr>
      </w:pPr>
      <w:proofErr w:type="spellStart"/>
      <w:r>
        <w:rPr>
          <w:lang w:val="en-US"/>
        </w:rPr>
        <w:t>Ti</w:t>
      </w:r>
      <w:proofErr w:type="spellEnd"/>
      <w:r>
        <w:rPr>
          <w:lang w:val="en-US"/>
        </w:rPr>
        <w:t xml:space="preserve"> vs Sc, Th, V, Zr, Nb and P.</w:t>
      </w:r>
    </w:p>
    <w:p w14:paraId="2E63BA25" w14:textId="42E8F8B4" w:rsidR="00B246D3" w:rsidRDefault="00B246D3">
      <w:pPr>
        <w:rPr>
          <w:lang w:val="en-US"/>
        </w:rPr>
      </w:pPr>
      <w:r>
        <w:rPr>
          <w:lang w:val="en-US"/>
        </w:rPr>
        <w:t xml:space="preserve">These plots are more effective when there is a large volume of data from a small area, </w:t>
      </w:r>
      <w:proofErr w:type="spellStart"/>
      <w:r>
        <w:rPr>
          <w:lang w:val="en-US"/>
        </w:rPr>
        <w:t>ie</w:t>
      </w:r>
      <w:proofErr w:type="spellEnd"/>
      <w:r>
        <w:rPr>
          <w:lang w:val="en-US"/>
        </w:rPr>
        <w:t xml:space="preserve"> lots of samples from few different lithologies. In the following plots, I included the </w:t>
      </w:r>
      <w:proofErr w:type="spellStart"/>
      <w:r>
        <w:rPr>
          <w:lang w:val="en-US"/>
        </w:rPr>
        <w:t>Lunnon</w:t>
      </w:r>
      <w:proofErr w:type="spellEnd"/>
      <w:r>
        <w:rPr>
          <w:lang w:val="en-US"/>
        </w:rPr>
        <w:t xml:space="preserve">-type basalts with the intermediate to felsic rocks to add some context. </w:t>
      </w:r>
    </w:p>
    <w:p w14:paraId="1B1ED1FE" w14:textId="42747552" w:rsidR="004F602D" w:rsidRDefault="00BB1212">
      <w:pPr>
        <w:rPr>
          <w:lang w:val="en-US"/>
        </w:rPr>
      </w:pPr>
      <w:r w:rsidRPr="00BB1212">
        <w:rPr>
          <w:noProof/>
          <w:lang w:val="en-US"/>
        </w:rPr>
        <w:lastRenderedPageBreak/>
        <w:drawing>
          <wp:inline distT="0" distB="0" distL="0" distR="0" wp14:anchorId="1B4C1890" wp14:editId="638D654F">
            <wp:extent cx="5731510" cy="2472055"/>
            <wp:effectExtent l="0" t="0" r="2540" b="4445"/>
            <wp:docPr id="63" name="Picture 6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catter chart&#10;&#10;Description automatically generated"/>
                    <pic:cNvPicPr/>
                  </pic:nvPicPr>
                  <pic:blipFill>
                    <a:blip r:embed="rId52"/>
                    <a:stretch>
                      <a:fillRect/>
                    </a:stretch>
                  </pic:blipFill>
                  <pic:spPr>
                    <a:xfrm>
                      <a:off x="0" y="0"/>
                      <a:ext cx="5731510" cy="2472055"/>
                    </a:xfrm>
                    <a:prstGeom prst="rect">
                      <a:avLst/>
                    </a:prstGeom>
                  </pic:spPr>
                </pic:pic>
              </a:graphicData>
            </a:graphic>
          </wp:inline>
        </w:drawing>
      </w:r>
    </w:p>
    <w:p w14:paraId="08C59AAB" w14:textId="1FCB375D" w:rsidR="00BB1212" w:rsidRDefault="00BB1212">
      <w:pPr>
        <w:rPr>
          <w:lang w:val="en-US"/>
        </w:rPr>
      </w:pPr>
    </w:p>
    <w:p w14:paraId="5217A8D3" w14:textId="7E99F45E" w:rsidR="00BB1212" w:rsidRDefault="00BB1212">
      <w:pPr>
        <w:rPr>
          <w:lang w:val="en-US"/>
        </w:rPr>
      </w:pPr>
      <w:r w:rsidRPr="00BB1212">
        <w:rPr>
          <w:noProof/>
          <w:lang w:val="en-US"/>
        </w:rPr>
        <w:drawing>
          <wp:inline distT="0" distB="0" distL="0" distR="0" wp14:anchorId="045D0467" wp14:editId="64256F2D">
            <wp:extent cx="5731510" cy="2472055"/>
            <wp:effectExtent l="0" t="0" r="2540" b="4445"/>
            <wp:docPr id="69" name="Picture 6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scatter chart&#10;&#10;Description automatically generated"/>
                    <pic:cNvPicPr/>
                  </pic:nvPicPr>
                  <pic:blipFill>
                    <a:blip r:embed="rId53"/>
                    <a:stretch>
                      <a:fillRect/>
                    </a:stretch>
                  </pic:blipFill>
                  <pic:spPr>
                    <a:xfrm>
                      <a:off x="0" y="0"/>
                      <a:ext cx="5731510" cy="2472055"/>
                    </a:xfrm>
                    <a:prstGeom prst="rect">
                      <a:avLst/>
                    </a:prstGeom>
                  </pic:spPr>
                </pic:pic>
              </a:graphicData>
            </a:graphic>
          </wp:inline>
        </w:drawing>
      </w:r>
    </w:p>
    <w:p w14:paraId="7340B853" w14:textId="6EB057F4" w:rsidR="00B246D3" w:rsidRDefault="00B246D3">
      <w:pPr>
        <w:rPr>
          <w:lang w:val="en-US"/>
        </w:rPr>
      </w:pPr>
      <w:r>
        <w:rPr>
          <w:lang w:val="en-US"/>
        </w:rPr>
        <w:t xml:space="preserve">At this stage it is worth plotting some variables that show differences in fractionation processes. </w:t>
      </w:r>
    </w:p>
    <w:p w14:paraId="7E2B0E18" w14:textId="5450473E" w:rsidR="00B246D3" w:rsidRDefault="00B246D3">
      <w:pPr>
        <w:rPr>
          <w:lang w:val="en-US"/>
        </w:rPr>
      </w:pPr>
      <w:r>
        <w:rPr>
          <w:lang w:val="en-US"/>
        </w:rPr>
        <w:t>SiO2 vs Eu*, V/Sc, Sr/Y and Zr/Hf.</w:t>
      </w:r>
    </w:p>
    <w:p w14:paraId="1FF15827" w14:textId="20020ECD" w:rsidR="00230F83" w:rsidRDefault="00BB1212" w:rsidP="00230F83">
      <w:pPr>
        <w:rPr>
          <w:lang w:val="en-US"/>
        </w:rPr>
      </w:pPr>
      <w:r w:rsidRPr="00BB1212">
        <w:rPr>
          <w:noProof/>
          <w:lang w:val="en-US"/>
        </w:rPr>
        <w:drawing>
          <wp:inline distT="0" distB="0" distL="0" distR="0" wp14:anchorId="58B3FAD7" wp14:editId="7EA39581">
            <wp:extent cx="4320000" cy="2693658"/>
            <wp:effectExtent l="0" t="0" r="4445" b="0"/>
            <wp:docPr id="70" name="Picture 7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scatter chart&#10;&#10;Description automatically generated"/>
                    <pic:cNvPicPr/>
                  </pic:nvPicPr>
                  <pic:blipFill>
                    <a:blip r:embed="rId54"/>
                    <a:stretch>
                      <a:fillRect/>
                    </a:stretch>
                  </pic:blipFill>
                  <pic:spPr>
                    <a:xfrm>
                      <a:off x="0" y="0"/>
                      <a:ext cx="4320000" cy="2693658"/>
                    </a:xfrm>
                    <a:prstGeom prst="rect">
                      <a:avLst/>
                    </a:prstGeom>
                  </pic:spPr>
                </pic:pic>
              </a:graphicData>
            </a:graphic>
          </wp:inline>
        </w:drawing>
      </w:r>
    </w:p>
    <w:p w14:paraId="09FE93C9" w14:textId="3B4CB578" w:rsidR="00BB1212" w:rsidRDefault="00BB1212" w:rsidP="00230F83">
      <w:pPr>
        <w:rPr>
          <w:lang w:val="en-US"/>
        </w:rPr>
      </w:pPr>
      <w:r w:rsidRPr="00BB1212">
        <w:rPr>
          <w:noProof/>
          <w:lang w:val="en-US"/>
        </w:rPr>
        <w:lastRenderedPageBreak/>
        <w:drawing>
          <wp:inline distT="0" distB="0" distL="0" distR="0" wp14:anchorId="7AAF687B" wp14:editId="4C49FA8E">
            <wp:extent cx="4320000" cy="2693658"/>
            <wp:effectExtent l="0" t="0" r="4445" b="0"/>
            <wp:docPr id="71" name="Picture 7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scatter chart&#10;&#10;Description automatically generated"/>
                    <pic:cNvPicPr/>
                  </pic:nvPicPr>
                  <pic:blipFill>
                    <a:blip r:embed="rId55"/>
                    <a:stretch>
                      <a:fillRect/>
                    </a:stretch>
                  </pic:blipFill>
                  <pic:spPr>
                    <a:xfrm>
                      <a:off x="0" y="0"/>
                      <a:ext cx="4320000" cy="2693658"/>
                    </a:xfrm>
                    <a:prstGeom prst="rect">
                      <a:avLst/>
                    </a:prstGeom>
                  </pic:spPr>
                </pic:pic>
              </a:graphicData>
            </a:graphic>
          </wp:inline>
        </w:drawing>
      </w:r>
    </w:p>
    <w:p w14:paraId="08DA9876" w14:textId="5D50FCD8" w:rsidR="006D677F" w:rsidRDefault="006D677F" w:rsidP="00230F83">
      <w:pPr>
        <w:rPr>
          <w:lang w:val="en-US"/>
        </w:rPr>
      </w:pPr>
      <w:r>
        <w:rPr>
          <w:lang w:val="en-US"/>
        </w:rPr>
        <w:t xml:space="preserve">Plot SiO2 versus Eu* to highlight the rocks in which a significant amount of plagioclase has fractionated. These are shown above in red. Select this group and name them Fractionated Rhyolite. (Something else to note here; in magmas that have </w:t>
      </w:r>
      <w:r w:rsidRPr="006D677F">
        <w:rPr>
          <w:i/>
          <w:iCs/>
          <w:lang w:val="en-US"/>
        </w:rPr>
        <w:t>not</w:t>
      </w:r>
      <w:r>
        <w:rPr>
          <w:lang w:val="en-US"/>
        </w:rPr>
        <w:t xml:space="preserve"> fractionated plagioclase, we would expect the Eu* to be around 1, perhaps decreasing very slightly with increasing SiO2. The extent of the scatter away from a value of 1 is an indication of the analytical uncertainty or precision of the data. I am always curious as to whether I am picking real trends, or just being distracted by artefacts in the data).</w:t>
      </w:r>
    </w:p>
    <w:p w14:paraId="18D48042" w14:textId="7B55A4AB" w:rsidR="00BB1212" w:rsidRDefault="006D677F" w:rsidP="00230F83">
      <w:pPr>
        <w:rPr>
          <w:lang w:val="en-US"/>
        </w:rPr>
      </w:pPr>
      <w:r>
        <w:rPr>
          <w:lang w:val="en-US"/>
        </w:rPr>
        <w:t xml:space="preserve">Next, plot SiO2 versus V/Sc. The background V/Sc ratio is around 7 to 8. </w:t>
      </w:r>
      <w:r w:rsidR="006216D7">
        <w:rPr>
          <w:lang w:val="en-US"/>
        </w:rPr>
        <w:t>Fractional crystallization of Fe oxides, most notably magnetite leads to d</w:t>
      </w:r>
      <w:r>
        <w:rPr>
          <w:lang w:val="en-US"/>
        </w:rPr>
        <w:t>ecreasing V/Sc with increasing SiO2</w:t>
      </w:r>
      <w:r w:rsidR="006216D7">
        <w:rPr>
          <w:lang w:val="en-US"/>
        </w:rPr>
        <w:t xml:space="preserve">. This plot shows that the Fractionated Rhyolites have fractionated </w:t>
      </w:r>
      <w:r w:rsidR="006216D7" w:rsidRPr="006216D7">
        <w:rPr>
          <w:i/>
          <w:iCs/>
          <w:lang w:val="en-US"/>
        </w:rPr>
        <w:t>both</w:t>
      </w:r>
      <w:r w:rsidR="006216D7">
        <w:rPr>
          <w:lang w:val="en-US"/>
        </w:rPr>
        <w:t xml:space="preserve"> plagioclase and magnetite.</w:t>
      </w:r>
    </w:p>
    <w:p w14:paraId="59F0CFE1" w14:textId="1F9B20FF" w:rsidR="00BB1212" w:rsidRDefault="00BB1212" w:rsidP="00230F83">
      <w:pPr>
        <w:rPr>
          <w:lang w:val="en-US"/>
        </w:rPr>
      </w:pPr>
      <w:r w:rsidRPr="00BB1212">
        <w:rPr>
          <w:noProof/>
          <w:lang w:val="en-US"/>
        </w:rPr>
        <w:drawing>
          <wp:inline distT="0" distB="0" distL="0" distR="0" wp14:anchorId="0341B50C" wp14:editId="48165DBE">
            <wp:extent cx="4320000" cy="2693658"/>
            <wp:effectExtent l="0" t="0" r="4445" b="0"/>
            <wp:docPr id="72" name="Picture 7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scatter chart&#10;&#10;Description automatically generated"/>
                    <pic:cNvPicPr/>
                  </pic:nvPicPr>
                  <pic:blipFill>
                    <a:blip r:embed="rId56"/>
                    <a:stretch>
                      <a:fillRect/>
                    </a:stretch>
                  </pic:blipFill>
                  <pic:spPr>
                    <a:xfrm>
                      <a:off x="0" y="0"/>
                      <a:ext cx="4320000" cy="2693658"/>
                    </a:xfrm>
                    <a:prstGeom prst="rect">
                      <a:avLst/>
                    </a:prstGeom>
                  </pic:spPr>
                </pic:pic>
              </a:graphicData>
            </a:graphic>
          </wp:inline>
        </w:drawing>
      </w:r>
    </w:p>
    <w:p w14:paraId="1D4D8745" w14:textId="18C09015" w:rsidR="006216D7" w:rsidRDefault="006216D7" w:rsidP="00230F83">
      <w:pPr>
        <w:rPr>
          <w:lang w:val="en-US"/>
        </w:rPr>
      </w:pPr>
      <w:r>
        <w:rPr>
          <w:lang w:val="en-US"/>
        </w:rPr>
        <w:t>Increasing V/Sc is a signature observed in porphyry Cu magmas and in many Archean hornblende diorites spatially linked to gold systems. When there are relatively few high V/Sc results as in this plot, I am always concerned whether the results are real, or analytical artefacts like those in the Eu* plot.</w:t>
      </w:r>
    </w:p>
    <w:p w14:paraId="413FC8C8" w14:textId="71B9C962" w:rsidR="00BB1212" w:rsidRDefault="00BB1212" w:rsidP="00230F83">
      <w:pPr>
        <w:rPr>
          <w:lang w:val="en-US"/>
        </w:rPr>
      </w:pPr>
    </w:p>
    <w:p w14:paraId="7F6FA7EA" w14:textId="61C5E4E5" w:rsidR="00BB1212" w:rsidRDefault="00BB1212" w:rsidP="00230F83">
      <w:pPr>
        <w:rPr>
          <w:lang w:val="en-US"/>
        </w:rPr>
      </w:pPr>
      <w:r w:rsidRPr="00BB1212">
        <w:rPr>
          <w:noProof/>
          <w:lang w:val="en-US"/>
        </w:rPr>
        <w:lastRenderedPageBreak/>
        <w:drawing>
          <wp:inline distT="0" distB="0" distL="0" distR="0" wp14:anchorId="07F91549" wp14:editId="7BC57928">
            <wp:extent cx="4320000" cy="2693658"/>
            <wp:effectExtent l="0" t="0" r="4445" b="0"/>
            <wp:docPr id="73" name="Picture 7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scatter chart&#10;&#10;Description automatically generated"/>
                    <pic:cNvPicPr/>
                  </pic:nvPicPr>
                  <pic:blipFill>
                    <a:blip r:embed="rId57"/>
                    <a:stretch>
                      <a:fillRect/>
                    </a:stretch>
                  </pic:blipFill>
                  <pic:spPr>
                    <a:xfrm>
                      <a:off x="0" y="0"/>
                      <a:ext cx="4320000" cy="2693658"/>
                    </a:xfrm>
                    <a:prstGeom prst="rect">
                      <a:avLst/>
                    </a:prstGeom>
                  </pic:spPr>
                </pic:pic>
              </a:graphicData>
            </a:graphic>
          </wp:inline>
        </w:drawing>
      </w:r>
    </w:p>
    <w:p w14:paraId="7FEB1EA6" w14:textId="47E6D250" w:rsidR="006216D7" w:rsidRDefault="006216D7" w:rsidP="00230F83">
      <w:pPr>
        <w:rPr>
          <w:lang w:val="en-US"/>
        </w:rPr>
      </w:pPr>
      <w:r>
        <w:rPr>
          <w:lang w:val="en-US"/>
        </w:rPr>
        <w:t xml:space="preserve">Next, plot SiO2 versus Sr/Y. In the red group, fractionation of plagioclase removes Sr from the melt, but in melts of this composition, Y is an incompatible element. Therefore these samples plot with very low Sr/Y. </w:t>
      </w:r>
      <w:r w:rsidR="00D201A7">
        <w:rPr>
          <w:lang w:val="en-US"/>
        </w:rPr>
        <w:t xml:space="preserve">A high Sr/Y ratio is a distinctive characteristic of porphyry Cu magmas, but also Archean hornblende diorites. Porphyry Cu magmas typically have a range of 40 to 120. Make a new </w:t>
      </w:r>
      <w:proofErr w:type="spellStart"/>
      <w:r w:rsidR="00D201A7">
        <w:rPr>
          <w:lang w:val="en-US"/>
        </w:rPr>
        <w:t>colour</w:t>
      </w:r>
      <w:proofErr w:type="spellEnd"/>
      <w:r w:rsidR="00D201A7">
        <w:rPr>
          <w:lang w:val="en-US"/>
        </w:rPr>
        <w:t xml:space="preserve"> group. Make it magenta and name it Hornblende Diorite. Select the samples with Sr/Y greater than 40.</w:t>
      </w:r>
    </w:p>
    <w:p w14:paraId="40AC6332" w14:textId="4D93CF23" w:rsidR="002D7FEB" w:rsidRPr="00230F83" w:rsidRDefault="002D7FEB" w:rsidP="00230F83">
      <w:pPr>
        <w:rPr>
          <w:lang w:val="en-US"/>
        </w:rPr>
      </w:pPr>
      <w:r w:rsidRPr="002D7FEB">
        <w:rPr>
          <w:noProof/>
          <w:lang w:val="en-US"/>
        </w:rPr>
        <w:drawing>
          <wp:inline distT="0" distB="0" distL="0" distR="0" wp14:anchorId="3A7E61A9" wp14:editId="31A88487">
            <wp:extent cx="4320000" cy="2693658"/>
            <wp:effectExtent l="0" t="0" r="4445" b="0"/>
            <wp:docPr id="74" name="Picture 7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scatter chart&#10;&#10;Description automatically generated"/>
                    <pic:cNvPicPr/>
                  </pic:nvPicPr>
                  <pic:blipFill>
                    <a:blip r:embed="rId58"/>
                    <a:stretch>
                      <a:fillRect/>
                    </a:stretch>
                  </pic:blipFill>
                  <pic:spPr>
                    <a:xfrm>
                      <a:off x="0" y="0"/>
                      <a:ext cx="4320000" cy="2693658"/>
                    </a:xfrm>
                    <a:prstGeom prst="rect">
                      <a:avLst/>
                    </a:prstGeom>
                  </pic:spPr>
                </pic:pic>
              </a:graphicData>
            </a:graphic>
          </wp:inline>
        </w:drawing>
      </w:r>
    </w:p>
    <w:p w14:paraId="0329E42D" w14:textId="0B27081D" w:rsidR="00CC42DA" w:rsidRDefault="00CC42DA">
      <w:pPr>
        <w:rPr>
          <w:lang w:val="en-US"/>
        </w:rPr>
      </w:pPr>
    </w:p>
    <w:p w14:paraId="06B062F1" w14:textId="6FB59502" w:rsidR="00CC42DA" w:rsidRDefault="00746547">
      <w:pPr>
        <w:rPr>
          <w:lang w:val="en-US"/>
        </w:rPr>
      </w:pPr>
      <w:r>
        <w:rPr>
          <w:lang w:val="en-US"/>
        </w:rPr>
        <w:t>Next, plot SiO2 versus Zr/Hf. Some of the fractionated rhyolites show the effect of fractional crystallization of zircons, with a decreasing Zr/Hf ratio. Most of the data however plot around the average earth crust value of 36:1. With high precision assays, I would expect the scatter to be a little less than the range shown in this plot. Something to look out for in this plot is the signature of alkalic magmas. Alkalic magmas have Zr/Hf of 40 to 50, or even more. The Wallaby Syenite and Tropicana host rocks for example, average Zr/Hf values of 50. The elevated Zr/Hf ratios in alkalic magmas are accompanied by higher V/Sc, high Sr and Ba, high total Zr, P, Th, LREE’s and lack of Y depletion compared to hornblende diorites. Genuine alkalic signatures are not well represented in this data set.</w:t>
      </w:r>
    </w:p>
    <w:p w14:paraId="72CD5BB1" w14:textId="79AB58F0" w:rsidR="00746547" w:rsidRDefault="00746547">
      <w:pPr>
        <w:rPr>
          <w:lang w:val="en-US"/>
        </w:rPr>
      </w:pPr>
      <w:r w:rsidRPr="00746547">
        <w:rPr>
          <w:noProof/>
          <w:lang w:val="en-US"/>
        </w:rPr>
        <w:lastRenderedPageBreak/>
        <w:drawing>
          <wp:inline distT="0" distB="0" distL="0" distR="0" wp14:anchorId="3D7FDC82" wp14:editId="062EB6D0">
            <wp:extent cx="4320000" cy="2693658"/>
            <wp:effectExtent l="0" t="0" r="4445" b="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a:blip r:embed="rId59"/>
                    <a:stretch>
                      <a:fillRect/>
                    </a:stretch>
                  </pic:blipFill>
                  <pic:spPr>
                    <a:xfrm>
                      <a:off x="0" y="0"/>
                      <a:ext cx="4320000" cy="2693658"/>
                    </a:xfrm>
                    <a:prstGeom prst="rect">
                      <a:avLst/>
                    </a:prstGeom>
                  </pic:spPr>
                </pic:pic>
              </a:graphicData>
            </a:graphic>
          </wp:inline>
        </w:drawing>
      </w:r>
    </w:p>
    <w:p w14:paraId="7B0E8841" w14:textId="77777777" w:rsidR="00681E39" w:rsidRDefault="00681E39">
      <w:pPr>
        <w:rPr>
          <w:lang w:val="en-US"/>
        </w:rPr>
      </w:pPr>
      <w:r>
        <w:rPr>
          <w:lang w:val="en-US"/>
        </w:rPr>
        <w:t>If you were using 4 acid digest ICP analyses and did not have SiO2 values, then for these fractionation diagrams I would recommend plotting Sc vs Eu*, Sc vs V/Sc, Sr/Y vs Y and Zr vs Hf.</w:t>
      </w:r>
    </w:p>
    <w:p w14:paraId="7D57F9C5" w14:textId="77777777" w:rsidR="00681E39" w:rsidRDefault="00681E39">
      <w:pPr>
        <w:rPr>
          <w:lang w:val="en-US"/>
        </w:rPr>
      </w:pPr>
      <w:r w:rsidRPr="00681E39">
        <w:rPr>
          <w:noProof/>
          <w:lang w:val="en-US"/>
        </w:rPr>
        <w:drawing>
          <wp:inline distT="0" distB="0" distL="0" distR="0" wp14:anchorId="0431DC5D" wp14:editId="2F33B61C">
            <wp:extent cx="4320000" cy="2693658"/>
            <wp:effectExtent l="0" t="0" r="4445" b="0"/>
            <wp:docPr id="75" name="Picture 7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hart, scatter chart&#10;&#10;Description automatically generated"/>
                    <pic:cNvPicPr/>
                  </pic:nvPicPr>
                  <pic:blipFill>
                    <a:blip r:embed="rId60"/>
                    <a:stretch>
                      <a:fillRect/>
                    </a:stretch>
                  </pic:blipFill>
                  <pic:spPr>
                    <a:xfrm>
                      <a:off x="0" y="0"/>
                      <a:ext cx="4320000" cy="2693658"/>
                    </a:xfrm>
                    <a:prstGeom prst="rect">
                      <a:avLst/>
                    </a:prstGeom>
                  </pic:spPr>
                </pic:pic>
              </a:graphicData>
            </a:graphic>
          </wp:inline>
        </w:drawing>
      </w:r>
      <w:r w:rsidRPr="00681E39">
        <w:rPr>
          <w:lang w:val="en-US"/>
        </w:rPr>
        <w:t xml:space="preserve"> </w:t>
      </w:r>
    </w:p>
    <w:p w14:paraId="5B2A93AB" w14:textId="77777777" w:rsidR="00681E39" w:rsidRDefault="00681E39">
      <w:pPr>
        <w:rPr>
          <w:lang w:val="en-US"/>
        </w:rPr>
      </w:pPr>
      <w:r w:rsidRPr="00681E39">
        <w:rPr>
          <w:noProof/>
          <w:lang w:val="en-US"/>
        </w:rPr>
        <w:drawing>
          <wp:inline distT="0" distB="0" distL="0" distR="0" wp14:anchorId="4127188F" wp14:editId="6F427E18">
            <wp:extent cx="4320000" cy="2714239"/>
            <wp:effectExtent l="0" t="0" r="4445" b="0"/>
            <wp:docPr id="76" name="Picture 7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 scatter chart&#10;&#10;Description automatically generated"/>
                    <pic:cNvPicPr/>
                  </pic:nvPicPr>
                  <pic:blipFill>
                    <a:blip r:embed="rId61"/>
                    <a:stretch>
                      <a:fillRect/>
                    </a:stretch>
                  </pic:blipFill>
                  <pic:spPr>
                    <a:xfrm>
                      <a:off x="0" y="0"/>
                      <a:ext cx="4320000" cy="2714239"/>
                    </a:xfrm>
                    <a:prstGeom prst="rect">
                      <a:avLst/>
                    </a:prstGeom>
                  </pic:spPr>
                </pic:pic>
              </a:graphicData>
            </a:graphic>
          </wp:inline>
        </w:drawing>
      </w:r>
      <w:r w:rsidRPr="00681E39">
        <w:rPr>
          <w:lang w:val="en-US"/>
        </w:rPr>
        <w:t xml:space="preserve"> </w:t>
      </w:r>
    </w:p>
    <w:p w14:paraId="767D26B0" w14:textId="77777777" w:rsidR="00681E39" w:rsidRDefault="00681E39">
      <w:pPr>
        <w:rPr>
          <w:lang w:val="en-US"/>
        </w:rPr>
      </w:pPr>
      <w:r w:rsidRPr="00681E39">
        <w:rPr>
          <w:noProof/>
          <w:lang w:val="en-US"/>
        </w:rPr>
        <w:lastRenderedPageBreak/>
        <w:drawing>
          <wp:inline distT="0" distB="0" distL="0" distR="0" wp14:anchorId="66969D8E" wp14:editId="09759459">
            <wp:extent cx="4320000" cy="2710889"/>
            <wp:effectExtent l="0" t="0" r="4445" b="0"/>
            <wp:docPr id="77" name="Picture 7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scatter chart&#10;&#10;Description automatically generated"/>
                    <pic:cNvPicPr/>
                  </pic:nvPicPr>
                  <pic:blipFill>
                    <a:blip r:embed="rId62"/>
                    <a:stretch>
                      <a:fillRect/>
                    </a:stretch>
                  </pic:blipFill>
                  <pic:spPr>
                    <a:xfrm>
                      <a:off x="0" y="0"/>
                      <a:ext cx="4320000" cy="2710889"/>
                    </a:xfrm>
                    <a:prstGeom prst="rect">
                      <a:avLst/>
                    </a:prstGeom>
                  </pic:spPr>
                </pic:pic>
              </a:graphicData>
            </a:graphic>
          </wp:inline>
        </w:drawing>
      </w:r>
      <w:r w:rsidRPr="00681E39">
        <w:rPr>
          <w:lang w:val="en-US"/>
        </w:rPr>
        <w:t xml:space="preserve"> </w:t>
      </w:r>
    </w:p>
    <w:p w14:paraId="0CF791DE" w14:textId="77777777" w:rsidR="00D44C9F" w:rsidRDefault="00681E39">
      <w:pPr>
        <w:rPr>
          <w:lang w:val="en-US"/>
        </w:rPr>
      </w:pPr>
      <w:r w:rsidRPr="00681E39">
        <w:rPr>
          <w:noProof/>
          <w:lang w:val="en-US"/>
        </w:rPr>
        <w:drawing>
          <wp:inline distT="0" distB="0" distL="0" distR="0" wp14:anchorId="167EF230" wp14:editId="10320C12">
            <wp:extent cx="4320000" cy="2719982"/>
            <wp:effectExtent l="0" t="0" r="4445" b="4445"/>
            <wp:docPr id="78" name="Picture 7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scatter chart&#10;&#10;Description automatically generated"/>
                    <pic:cNvPicPr/>
                  </pic:nvPicPr>
                  <pic:blipFill>
                    <a:blip r:embed="rId63"/>
                    <a:stretch>
                      <a:fillRect/>
                    </a:stretch>
                  </pic:blipFill>
                  <pic:spPr>
                    <a:xfrm>
                      <a:off x="0" y="0"/>
                      <a:ext cx="4320000" cy="2719982"/>
                    </a:xfrm>
                    <a:prstGeom prst="rect">
                      <a:avLst/>
                    </a:prstGeom>
                  </pic:spPr>
                </pic:pic>
              </a:graphicData>
            </a:graphic>
          </wp:inline>
        </w:drawing>
      </w:r>
      <w:r w:rsidRPr="00681E39">
        <w:rPr>
          <w:lang w:val="en-US"/>
        </w:rPr>
        <w:t xml:space="preserve"> </w:t>
      </w:r>
    </w:p>
    <w:p w14:paraId="4B388F0C" w14:textId="77777777" w:rsidR="00D44C9F" w:rsidRDefault="00D44C9F">
      <w:pPr>
        <w:rPr>
          <w:lang w:val="en-US"/>
        </w:rPr>
      </w:pPr>
      <w:r w:rsidRPr="00D44C9F">
        <w:rPr>
          <w:noProof/>
          <w:lang w:val="en-US"/>
        </w:rPr>
        <w:drawing>
          <wp:inline distT="0" distB="0" distL="0" distR="0" wp14:anchorId="7C35755A" wp14:editId="639309C8">
            <wp:extent cx="4320000" cy="2693658"/>
            <wp:effectExtent l="0" t="0" r="4445" b="0"/>
            <wp:docPr id="79" name="Picture 7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scatter chart&#10;&#10;Description automatically generated"/>
                    <pic:cNvPicPr/>
                  </pic:nvPicPr>
                  <pic:blipFill>
                    <a:blip r:embed="rId64"/>
                    <a:stretch>
                      <a:fillRect/>
                    </a:stretch>
                  </pic:blipFill>
                  <pic:spPr>
                    <a:xfrm>
                      <a:off x="0" y="0"/>
                      <a:ext cx="4320000" cy="2693658"/>
                    </a:xfrm>
                    <a:prstGeom prst="rect">
                      <a:avLst/>
                    </a:prstGeom>
                  </pic:spPr>
                </pic:pic>
              </a:graphicData>
            </a:graphic>
          </wp:inline>
        </w:drawing>
      </w:r>
      <w:r w:rsidRPr="00D44C9F">
        <w:rPr>
          <w:lang w:val="en-US"/>
        </w:rPr>
        <w:t xml:space="preserve"> </w:t>
      </w:r>
    </w:p>
    <w:p w14:paraId="074E41E2" w14:textId="7099C12A" w:rsidR="00BB1212" w:rsidRDefault="00D44C9F">
      <w:pPr>
        <w:rPr>
          <w:lang w:val="en-US"/>
        </w:rPr>
      </w:pPr>
      <w:r>
        <w:rPr>
          <w:lang w:val="en-US"/>
        </w:rPr>
        <w:t>Among the data, the samples with high Sr/Y (</w:t>
      </w:r>
      <w:proofErr w:type="spellStart"/>
      <w:r>
        <w:rPr>
          <w:lang w:val="en-US"/>
        </w:rPr>
        <w:t>ie</w:t>
      </w:r>
      <w:proofErr w:type="spellEnd"/>
      <w:r>
        <w:rPr>
          <w:lang w:val="en-US"/>
        </w:rPr>
        <w:t xml:space="preserve"> magenta group), high V/Sc, high Zr/Hf and high Ba are interesting in terms of potential association with Au systems.</w:t>
      </w:r>
      <w:r w:rsidR="00BB1212">
        <w:rPr>
          <w:lang w:val="en-US"/>
        </w:rPr>
        <w:br w:type="page"/>
      </w:r>
    </w:p>
    <w:p w14:paraId="390A7FEB" w14:textId="55AAA928" w:rsidR="00B50BF9" w:rsidRPr="00B50BF9" w:rsidRDefault="00B50BF9" w:rsidP="00B50BF9">
      <w:pPr>
        <w:pStyle w:val="Heading1"/>
        <w:rPr>
          <w:color w:val="auto"/>
          <w:lang w:val="en-US"/>
        </w:rPr>
      </w:pPr>
      <w:r w:rsidRPr="00B50BF9">
        <w:rPr>
          <w:color w:val="auto"/>
          <w:lang w:val="en-US"/>
        </w:rPr>
        <w:lastRenderedPageBreak/>
        <w:t>Alteration.</w:t>
      </w:r>
    </w:p>
    <w:p w14:paraId="0F283668" w14:textId="365A59F6" w:rsidR="00B50BF9" w:rsidRDefault="00B50BF9">
      <w:pPr>
        <w:rPr>
          <w:lang w:val="en-US"/>
        </w:rPr>
      </w:pPr>
      <w:r>
        <w:rPr>
          <w:lang w:val="en-US"/>
        </w:rPr>
        <w:t>Most of these samples are relatively unaltered. These results therefore provide a good comparison for exploration data</w:t>
      </w:r>
      <w:r w:rsidR="000D7126">
        <w:rPr>
          <w:lang w:val="en-US"/>
        </w:rPr>
        <w:t>, to evaluate the relative losses/gains of mobile elements.</w:t>
      </w:r>
    </w:p>
    <w:p w14:paraId="4339FBCC" w14:textId="31AA3FFB" w:rsidR="000D7126" w:rsidRDefault="000D7126">
      <w:pPr>
        <w:rPr>
          <w:lang w:val="en-US"/>
        </w:rPr>
      </w:pPr>
      <w:r>
        <w:rPr>
          <w:noProof/>
        </w:rPr>
        <w:drawing>
          <wp:inline distT="0" distB="0" distL="0" distR="0" wp14:anchorId="2293773C" wp14:editId="055F3CC0">
            <wp:extent cx="5731510" cy="1242646"/>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a:ext>
                      </a:extLst>
                    </a:blip>
                    <a:srcRect/>
                    <a:stretch/>
                  </pic:blipFill>
                  <pic:spPr bwMode="auto">
                    <a:xfrm>
                      <a:off x="0" y="0"/>
                      <a:ext cx="5731510" cy="1242646"/>
                    </a:xfrm>
                    <a:prstGeom prst="rect">
                      <a:avLst/>
                    </a:prstGeom>
                    <a:ln>
                      <a:noFill/>
                    </a:ln>
                    <a:extLst>
                      <a:ext uri="{53640926-AAD7-44D8-BBD7-CCE9431645EC}">
                        <a14:shadowObscured xmlns:a14="http://schemas.microsoft.com/office/drawing/2010/main"/>
                      </a:ext>
                    </a:extLst>
                  </pic:spPr>
                </pic:pic>
              </a:graphicData>
            </a:graphic>
          </wp:inline>
        </w:drawing>
      </w:r>
    </w:p>
    <w:p w14:paraId="6B655CCB" w14:textId="75980967" w:rsidR="000D7126" w:rsidRDefault="000D7126">
      <w:pPr>
        <w:rPr>
          <w:lang w:val="en-US"/>
        </w:rPr>
      </w:pPr>
      <w:r>
        <w:rPr>
          <w:lang w:val="en-US"/>
        </w:rPr>
        <w:t>Go to Diagram, Molar Ratio, Element Ratio (GER), Feldspar, Feldspar Na-K Control Diagram.</w:t>
      </w:r>
    </w:p>
    <w:p w14:paraId="64AD9A3E" w14:textId="059034AE" w:rsidR="000D7126" w:rsidRDefault="00C36B68">
      <w:pPr>
        <w:rPr>
          <w:lang w:val="en-US"/>
        </w:rPr>
      </w:pPr>
      <w:r w:rsidRPr="00C36B68">
        <w:rPr>
          <w:noProof/>
        </w:rPr>
        <w:drawing>
          <wp:inline distT="0" distB="0" distL="0" distR="0" wp14:anchorId="0841B568" wp14:editId="02F30986">
            <wp:extent cx="5731510" cy="3486150"/>
            <wp:effectExtent l="0" t="0" r="2540" b="0"/>
            <wp:docPr id="81" name="Picture 8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scatter chart&#10;&#10;Description automatically generated"/>
                    <pic:cNvPicPr/>
                  </pic:nvPicPr>
                  <pic:blipFill>
                    <a:blip r:embed="rId66"/>
                    <a:stretch>
                      <a:fillRect/>
                    </a:stretch>
                  </pic:blipFill>
                  <pic:spPr>
                    <a:xfrm>
                      <a:off x="0" y="0"/>
                      <a:ext cx="5731510" cy="3486150"/>
                    </a:xfrm>
                    <a:prstGeom prst="rect">
                      <a:avLst/>
                    </a:prstGeom>
                  </pic:spPr>
                </pic:pic>
              </a:graphicData>
            </a:graphic>
          </wp:inline>
        </w:drawing>
      </w:r>
    </w:p>
    <w:p w14:paraId="16B4BF34" w14:textId="5F5637E1" w:rsidR="000D7126" w:rsidRDefault="000D7126">
      <w:pPr>
        <w:rPr>
          <w:lang w:val="en-US"/>
        </w:rPr>
      </w:pPr>
      <w:r>
        <w:rPr>
          <w:lang w:val="en-US"/>
        </w:rPr>
        <w:t xml:space="preserve">Based on this Barcode data, and other data sets I have worked on, the black points on the K/Al versus Na/Al molar ratio plot show where I would expect the least-altered versions of all these rock types to plot. From this, we can see whether there is a trend from these least-altered compositions towards </w:t>
      </w:r>
      <w:r w:rsidR="00AE39C9">
        <w:rPr>
          <w:lang w:val="en-US"/>
        </w:rPr>
        <w:t>the albite, muscovite or K feldspar nodes.</w:t>
      </w:r>
    </w:p>
    <w:p w14:paraId="09AA9FFD" w14:textId="455B06F5" w:rsidR="00AE39C9" w:rsidRDefault="00AE39C9">
      <w:pPr>
        <w:rPr>
          <w:lang w:val="en-US"/>
        </w:rPr>
      </w:pPr>
      <w:r>
        <w:rPr>
          <w:lang w:val="en-US"/>
        </w:rPr>
        <w:t>The second plot we would look at to work out the alteration mineralogy is Al-K-Mg ternary. This is useful for visualizing how much chlorite is present. The third plot is Ca-K-Na ternary, which shows how much Ca is retained in carbonates as feldspars are sericitized.</w:t>
      </w:r>
    </w:p>
    <w:p w14:paraId="3E6867A5" w14:textId="036C507B" w:rsidR="00AE39C9" w:rsidRDefault="00C36B68">
      <w:pPr>
        <w:rPr>
          <w:lang w:val="en-US"/>
        </w:rPr>
      </w:pPr>
      <w:r w:rsidRPr="00C36B68">
        <w:rPr>
          <w:noProof/>
        </w:rPr>
        <w:lastRenderedPageBreak/>
        <w:drawing>
          <wp:inline distT="0" distB="0" distL="0" distR="0" wp14:anchorId="6D582545" wp14:editId="6BC8E6C7">
            <wp:extent cx="4500000" cy="3483935"/>
            <wp:effectExtent l="0" t="0" r="0" b="2540"/>
            <wp:docPr id="82" name="Picture 8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10;&#10;Description automatically generated"/>
                    <pic:cNvPicPr/>
                  </pic:nvPicPr>
                  <pic:blipFill>
                    <a:blip r:embed="rId67"/>
                    <a:stretch>
                      <a:fillRect/>
                    </a:stretch>
                  </pic:blipFill>
                  <pic:spPr>
                    <a:xfrm>
                      <a:off x="0" y="0"/>
                      <a:ext cx="4500000" cy="3483935"/>
                    </a:xfrm>
                    <a:prstGeom prst="rect">
                      <a:avLst/>
                    </a:prstGeom>
                  </pic:spPr>
                </pic:pic>
              </a:graphicData>
            </a:graphic>
          </wp:inline>
        </w:drawing>
      </w:r>
    </w:p>
    <w:p w14:paraId="0FEFDB55" w14:textId="2D50CE07" w:rsidR="00AE39C9" w:rsidRDefault="00C36B68">
      <w:pPr>
        <w:rPr>
          <w:lang w:val="en-US"/>
        </w:rPr>
      </w:pPr>
      <w:r w:rsidRPr="00C36B68">
        <w:rPr>
          <w:noProof/>
        </w:rPr>
        <w:drawing>
          <wp:inline distT="0" distB="0" distL="0" distR="0" wp14:anchorId="0FFCA48F" wp14:editId="41DAA083">
            <wp:extent cx="4500000" cy="3472967"/>
            <wp:effectExtent l="0" t="0" r="0" b="0"/>
            <wp:docPr id="83" name="Picture 8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 scatter chart&#10;&#10;Description automatically generated"/>
                    <pic:cNvPicPr/>
                  </pic:nvPicPr>
                  <pic:blipFill>
                    <a:blip r:embed="rId68"/>
                    <a:stretch>
                      <a:fillRect/>
                    </a:stretch>
                  </pic:blipFill>
                  <pic:spPr>
                    <a:xfrm>
                      <a:off x="0" y="0"/>
                      <a:ext cx="4500000" cy="3472967"/>
                    </a:xfrm>
                    <a:prstGeom prst="rect">
                      <a:avLst/>
                    </a:prstGeom>
                  </pic:spPr>
                </pic:pic>
              </a:graphicData>
            </a:graphic>
          </wp:inline>
        </w:drawing>
      </w:r>
    </w:p>
    <w:p w14:paraId="116427E1" w14:textId="769780AE" w:rsidR="00AE39C9" w:rsidRPr="00AE39C9" w:rsidRDefault="00AE39C9" w:rsidP="00AE39C9">
      <w:pPr>
        <w:pStyle w:val="Heading2"/>
        <w:rPr>
          <w:color w:val="auto"/>
          <w:lang w:val="en-US"/>
        </w:rPr>
      </w:pPr>
      <w:r w:rsidRPr="00AE39C9">
        <w:rPr>
          <w:color w:val="auto"/>
          <w:lang w:val="en-US"/>
        </w:rPr>
        <w:t>Pathfinders</w:t>
      </w:r>
    </w:p>
    <w:p w14:paraId="2D309883" w14:textId="26BF4A92" w:rsidR="00AE39C9" w:rsidRDefault="00AE39C9">
      <w:pPr>
        <w:rPr>
          <w:lang w:val="en-US"/>
        </w:rPr>
      </w:pPr>
      <w:r>
        <w:rPr>
          <w:lang w:val="en-US"/>
        </w:rPr>
        <w:t>This data set is also very useful for demonstrating what background ranges to expect for all of the pathfinder elements, and therefore to be able to determine what is “anomalous”.</w:t>
      </w:r>
    </w:p>
    <w:p w14:paraId="139C86DA" w14:textId="0649AE7F" w:rsidR="00AE39C9" w:rsidRDefault="00AE39C9">
      <w:pPr>
        <w:rPr>
          <w:lang w:val="en-US"/>
        </w:rPr>
      </w:pPr>
      <w:r>
        <w:rPr>
          <w:lang w:val="en-US"/>
        </w:rPr>
        <w:t xml:space="preserve">Go to Select Variables. Select a suite of pathfinder elements, </w:t>
      </w:r>
      <w:proofErr w:type="spellStart"/>
      <w:r>
        <w:rPr>
          <w:lang w:val="en-US"/>
        </w:rPr>
        <w:t>eg</w:t>
      </w:r>
      <w:proofErr w:type="spellEnd"/>
      <w:r>
        <w:rPr>
          <w:lang w:val="en-US"/>
        </w:rPr>
        <w:t xml:space="preserve">, As, Bi, Mo, </w:t>
      </w:r>
      <w:r w:rsidR="00AD6144">
        <w:rPr>
          <w:lang w:val="en-US"/>
        </w:rPr>
        <w:t xml:space="preserve">Sb, </w:t>
      </w:r>
      <w:proofErr w:type="spellStart"/>
      <w:r w:rsidR="00AD6144">
        <w:rPr>
          <w:lang w:val="en-US"/>
        </w:rPr>
        <w:t>Te</w:t>
      </w:r>
      <w:proofErr w:type="spellEnd"/>
      <w:r w:rsidR="00AD6144">
        <w:rPr>
          <w:lang w:val="en-US"/>
        </w:rPr>
        <w:t>, W.</w:t>
      </w:r>
    </w:p>
    <w:p w14:paraId="53B7FB47" w14:textId="6D32C1E5" w:rsidR="00AD6144" w:rsidRDefault="00AD6144">
      <w:pPr>
        <w:rPr>
          <w:lang w:val="en-US"/>
        </w:rPr>
      </w:pPr>
      <w:r>
        <w:rPr>
          <w:noProof/>
        </w:rPr>
        <w:lastRenderedPageBreak/>
        <w:drawing>
          <wp:inline distT="0" distB="0" distL="0" distR="0" wp14:anchorId="2CCBAEEA" wp14:editId="64BACC0C">
            <wp:extent cx="5731510" cy="826477"/>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a:ext>
                      </a:extLst>
                    </a:blip>
                    <a:srcRect/>
                    <a:stretch/>
                  </pic:blipFill>
                  <pic:spPr bwMode="auto">
                    <a:xfrm>
                      <a:off x="0" y="0"/>
                      <a:ext cx="5731510" cy="826477"/>
                    </a:xfrm>
                    <a:prstGeom prst="rect">
                      <a:avLst/>
                    </a:prstGeom>
                    <a:ln>
                      <a:noFill/>
                    </a:ln>
                    <a:extLst>
                      <a:ext uri="{53640926-AAD7-44D8-BBD7-CCE9431645EC}">
                        <a14:shadowObscured xmlns:a14="http://schemas.microsoft.com/office/drawing/2010/main"/>
                      </a:ext>
                    </a:extLst>
                  </pic:spPr>
                </pic:pic>
              </a:graphicData>
            </a:graphic>
          </wp:inline>
        </w:drawing>
      </w:r>
    </w:p>
    <w:p w14:paraId="66F443CC" w14:textId="4D9CFBF2" w:rsidR="00AD6144" w:rsidRDefault="00AD6144">
      <w:pPr>
        <w:rPr>
          <w:lang w:val="en-US"/>
        </w:rPr>
      </w:pPr>
      <w:r w:rsidRPr="00AD6144">
        <w:rPr>
          <w:noProof/>
        </w:rPr>
        <w:drawing>
          <wp:anchor distT="0" distB="0" distL="114300" distR="114300" simplePos="0" relativeHeight="251658240" behindDoc="1" locked="0" layoutInCell="1" allowOverlap="1" wp14:anchorId="05E553AC" wp14:editId="61E85425">
            <wp:simplePos x="0" y="0"/>
            <wp:positionH relativeFrom="column">
              <wp:posOffset>4826635</wp:posOffset>
            </wp:positionH>
            <wp:positionV relativeFrom="paragraph">
              <wp:posOffset>864870</wp:posOffset>
            </wp:positionV>
            <wp:extent cx="788035" cy="1835785"/>
            <wp:effectExtent l="19050" t="19050" r="12065" b="12065"/>
            <wp:wrapTight wrapText="left">
              <wp:wrapPolygon edited="0">
                <wp:start x="-522" y="-224"/>
                <wp:lineTo x="-522" y="21518"/>
                <wp:lineTo x="21409" y="21518"/>
                <wp:lineTo x="21409" y="-224"/>
                <wp:lineTo x="-522" y="-224"/>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88035" cy="18357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lang w:val="en-US"/>
        </w:rPr>
        <w:t xml:space="preserve">Go to Home, Probability plot, Split Probability Plot. This will create a different probability profile for each </w:t>
      </w:r>
      <w:proofErr w:type="spellStart"/>
      <w:r>
        <w:rPr>
          <w:lang w:val="en-US"/>
        </w:rPr>
        <w:t>colour</w:t>
      </w:r>
      <w:proofErr w:type="spellEnd"/>
      <w:r>
        <w:rPr>
          <w:lang w:val="en-US"/>
        </w:rPr>
        <w:t xml:space="preserve"> group. </w:t>
      </w:r>
      <w:r w:rsidRPr="00AD6144">
        <w:rPr>
          <w:lang w:val="en-US"/>
        </w:rPr>
        <w:t xml:space="preserve">The values plotted along the X axis are in units of standard deviation. These N-score values represent the z-scores from a standard normal distribution (mean = 0 and a standard deviation = 1, hence N score not Z score). To view the X axis as </w:t>
      </w:r>
      <w:r>
        <w:rPr>
          <w:lang w:val="en-US"/>
        </w:rPr>
        <w:t xml:space="preserve">cumulative frequency (or percentile) values, go to the right hand toolbar to toggle between Probability and Cumulative frequency plots. </w:t>
      </w:r>
    </w:p>
    <w:p w14:paraId="6B81270B" w14:textId="1A7A5FCA" w:rsidR="00AE39C9" w:rsidRDefault="00AE39C9">
      <w:pPr>
        <w:rPr>
          <w:lang w:val="en-US"/>
        </w:rPr>
      </w:pPr>
    </w:p>
    <w:p w14:paraId="63B978EF" w14:textId="5D615DA3" w:rsidR="00AD6144" w:rsidRDefault="00AD6144">
      <w:pPr>
        <w:rPr>
          <w:lang w:val="en-US"/>
        </w:rPr>
      </w:pPr>
    </w:p>
    <w:p w14:paraId="7B5216DE" w14:textId="17444EFE" w:rsidR="00AD6144" w:rsidRDefault="00AD6144">
      <w:pPr>
        <w:rPr>
          <w:lang w:val="en-US"/>
        </w:rPr>
      </w:pPr>
    </w:p>
    <w:p w14:paraId="329721FE" w14:textId="6AFFDE32" w:rsidR="00AD6144" w:rsidRDefault="00AD6144">
      <w:pPr>
        <w:rPr>
          <w:lang w:val="en-US"/>
        </w:rPr>
      </w:pPr>
    </w:p>
    <w:p w14:paraId="74FC0498" w14:textId="034932BC" w:rsidR="00AD6144" w:rsidRDefault="00AD6144">
      <w:pPr>
        <w:rPr>
          <w:lang w:val="en-US"/>
        </w:rPr>
      </w:pPr>
    </w:p>
    <w:p w14:paraId="2A2BFEFC" w14:textId="74E1D539" w:rsidR="00AD6144" w:rsidRDefault="00AD6144">
      <w:pPr>
        <w:rPr>
          <w:lang w:val="en-US"/>
        </w:rPr>
      </w:pPr>
    </w:p>
    <w:p w14:paraId="16BDEE16" w14:textId="0F637792" w:rsidR="00AD6144" w:rsidRDefault="00AD6144">
      <w:pPr>
        <w:rPr>
          <w:lang w:val="en-US"/>
        </w:rPr>
      </w:pPr>
    </w:p>
    <w:p w14:paraId="75EECAA4" w14:textId="17A775B8" w:rsidR="00AD6144" w:rsidRDefault="00AD6144">
      <w:pPr>
        <w:rPr>
          <w:lang w:val="en-US"/>
        </w:rPr>
      </w:pPr>
      <w:r w:rsidRPr="00AD6144">
        <w:rPr>
          <w:noProof/>
        </w:rPr>
        <w:drawing>
          <wp:inline distT="0" distB="0" distL="0" distR="0" wp14:anchorId="30DCCA27" wp14:editId="61AF1A83">
            <wp:extent cx="5731510" cy="2425700"/>
            <wp:effectExtent l="0" t="0" r="2540" b="0"/>
            <wp:docPr id="44" name="Picture 1">
              <a:extLst xmlns:a="http://schemas.openxmlformats.org/drawingml/2006/main">
                <a:ext uri="{FF2B5EF4-FFF2-40B4-BE49-F238E27FC236}">
                  <a16:creationId xmlns:a16="http://schemas.microsoft.com/office/drawing/2014/main" id="{060FB417-540E-414B-909F-88340D4A3D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0FB417-540E-414B-909F-88340D4A3D40}"/>
                        </a:ext>
                      </a:extLst>
                    </pic:cNvPr>
                    <pic:cNvPicPr>
                      <a:picLocks noChangeAspect="1"/>
                    </pic:cNvPicPr>
                  </pic:nvPicPr>
                  <pic:blipFill>
                    <a:blip r:embed="rId71"/>
                    <a:stretch>
                      <a:fillRect/>
                    </a:stretch>
                  </pic:blipFill>
                  <pic:spPr>
                    <a:xfrm>
                      <a:off x="0" y="0"/>
                      <a:ext cx="5731510" cy="2425700"/>
                    </a:xfrm>
                    <a:prstGeom prst="rect">
                      <a:avLst/>
                    </a:prstGeom>
                  </pic:spPr>
                </pic:pic>
              </a:graphicData>
            </a:graphic>
          </wp:inline>
        </w:drawing>
      </w:r>
    </w:p>
    <w:p w14:paraId="0E5BDAA8" w14:textId="34222733" w:rsidR="00AD6144" w:rsidRDefault="00AD6144">
      <w:pPr>
        <w:rPr>
          <w:lang w:val="en-US"/>
        </w:rPr>
      </w:pPr>
      <w:r>
        <w:rPr>
          <w:lang w:val="en-US"/>
        </w:rPr>
        <w:t>On the cumulative frequency plots at 0.5 on the x-axis, you will be able to read off the media</w:t>
      </w:r>
      <w:r w:rsidR="003C05CD">
        <w:rPr>
          <w:lang w:val="en-US"/>
        </w:rPr>
        <w:t>n</w:t>
      </w:r>
      <w:r>
        <w:rPr>
          <w:lang w:val="en-US"/>
        </w:rPr>
        <w:t xml:space="preserve"> value </w:t>
      </w:r>
      <w:r w:rsidR="003C05CD">
        <w:rPr>
          <w:lang w:val="en-US"/>
        </w:rPr>
        <w:t xml:space="preserve">for each pathfinder within each compositional group. Because most of these samples are relatively unaltered, this will be close to the real “background” values for typical Archean rocks. </w:t>
      </w:r>
      <w:r w:rsidR="00392636">
        <w:rPr>
          <w:lang w:val="en-US"/>
        </w:rPr>
        <w:t>If you are plotting up pathfinder data from a project area, then 10 times above these typical background values should be considered as a threshold for a significant anomaly.</w:t>
      </w:r>
    </w:p>
    <w:p w14:paraId="1D46A9D2" w14:textId="2FDCB3C9" w:rsidR="00392636" w:rsidRDefault="00392636">
      <w:pPr>
        <w:rPr>
          <w:lang w:val="en-US"/>
        </w:rPr>
      </w:pPr>
      <w:r>
        <w:rPr>
          <w:noProof/>
        </w:rPr>
        <w:drawing>
          <wp:inline distT="0" distB="0" distL="0" distR="0" wp14:anchorId="2595E8C9" wp14:editId="7B52BAFF">
            <wp:extent cx="5731510" cy="720970"/>
            <wp:effectExtent l="0" t="0" r="254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a:ext>
                      </a:extLst>
                    </a:blip>
                    <a:srcRect/>
                    <a:stretch/>
                  </pic:blipFill>
                  <pic:spPr bwMode="auto">
                    <a:xfrm>
                      <a:off x="0" y="0"/>
                      <a:ext cx="5731510" cy="720970"/>
                    </a:xfrm>
                    <a:prstGeom prst="rect">
                      <a:avLst/>
                    </a:prstGeom>
                    <a:ln>
                      <a:noFill/>
                    </a:ln>
                    <a:extLst>
                      <a:ext uri="{53640926-AAD7-44D8-BBD7-CCE9431645EC}">
                        <a14:shadowObscured xmlns:a14="http://schemas.microsoft.com/office/drawing/2010/main"/>
                      </a:ext>
                    </a:extLst>
                  </pic:spPr>
                </pic:pic>
              </a:graphicData>
            </a:graphic>
          </wp:inline>
        </w:drawing>
      </w:r>
    </w:p>
    <w:p w14:paraId="197E6511" w14:textId="44B45F7A" w:rsidR="00392636" w:rsidRDefault="00392636">
      <w:pPr>
        <w:rPr>
          <w:lang w:val="en-US"/>
        </w:rPr>
      </w:pPr>
      <w:r>
        <w:rPr>
          <w:lang w:val="en-US"/>
        </w:rPr>
        <w:lastRenderedPageBreak/>
        <w:t xml:space="preserve">Another way to consider the backgrounds from this data is to go to Analysis, Display Summary Statistics. This will give a statistical overview for the whole data set, and the stats broken down by each </w:t>
      </w:r>
      <w:proofErr w:type="spellStart"/>
      <w:r>
        <w:rPr>
          <w:lang w:val="en-US"/>
        </w:rPr>
        <w:t>colour</w:t>
      </w:r>
      <w:proofErr w:type="spellEnd"/>
      <w:r>
        <w:rPr>
          <w:lang w:val="en-US"/>
        </w:rPr>
        <w:t xml:space="preserve"> group. Note particularly the median values in here. This will be a good proxy for an average </w:t>
      </w:r>
      <w:r w:rsidR="00C36B68">
        <w:rPr>
          <w:lang w:val="en-US"/>
        </w:rPr>
        <w:t>A</w:t>
      </w:r>
      <w:r>
        <w:rPr>
          <w:lang w:val="en-US"/>
        </w:rPr>
        <w:t>rchean background.</w:t>
      </w:r>
    </w:p>
    <w:p w14:paraId="61CF943C" w14:textId="117C3975" w:rsidR="00392636" w:rsidRDefault="00392636">
      <w:pPr>
        <w:rPr>
          <w:lang w:val="en-US"/>
        </w:rPr>
      </w:pPr>
      <w:r w:rsidRPr="00392636">
        <w:rPr>
          <w:noProof/>
        </w:rPr>
        <w:drawing>
          <wp:inline distT="0" distB="0" distL="0" distR="0" wp14:anchorId="4AB98800" wp14:editId="7ADDB176">
            <wp:extent cx="5731510" cy="2393315"/>
            <wp:effectExtent l="0" t="0" r="254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393315"/>
                    </a:xfrm>
                    <a:prstGeom prst="rect">
                      <a:avLst/>
                    </a:prstGeom>
                  </pic:spPr>
                </pic:pic>
              </a:graphicData>
            </a:graphic>
          </wp:inline>
        </w:drawing>
      </w:r>
    </w:p>
    <w:p w14:paraId="65B50043" w14:textId="6BD80478" w:rsidR="00FC6C64" w:rsidRDefault="00FC6C64">
      <w:pPr>
        <w:rPr>
          <w:lang w:val="en-US"/>
        </w:rPr>
      </w:pPr>
    </w:p>
    <w:p w14:paraId="593072A4" w14:textId="32AAF1F1" w:rsidR="00FC6C64" w:rsidRDefault="00FC6C64">
      <w:pPr>
        <w:rPr>
          <w:lang w:val="en-US"/>
        </w:rPr>
      </w:pPr>
    </w:p>
    <w:p w14:paraId="33D70328" w14:textId="77777777" w:rsidR="00FC6C64" w:rsidRDefault="00FC6C64">
      <w:pPr>
        <w:rPr>
          <w:lang w:val="en-US"/>
        </w:rPr>
      </w:pPr>
      <w:r>
        <w:rPr>
          <w:lang w:val="en-US"/>
        </w:rPr>
        <w:br w:type="page"/>
      </w:r>
    </w:p>
    <w:p w14:paraId="631087C2" w14:textId="5AA0DCC9" w:rsidR="00FC6C64" w:rsidRDefault="00FC6C64" w:rsidP="00FC6C64">
      <w:pPr>
        <w:pStyle w:val="Heading1"/>
        <w:rPr>
          <w:color w:val="auto"/>
          <w:lang w:val="en-US"/>
        </w:rPr>
      </w:pPr>
      <w:r w:rsidRPr="00FC6C64">
        <w:rPr>
          <w:color w:val="auto"/>
          <w:lang w:val="en-US"/>
        </w:rPr>
        <w:lastRenderedPageBreak/>
        <w:t>References</w:t>
      </w:r>
    </w:p>
    <w:p w14:paraId="68430141" w14:textId="68C81B04" w:rsidR="00FC6C64" w:rsidRPr="00FC6C64" w:rsidRDefault="00FC6C64" w:rsidP="00FC6C64">
      <w:pPr>
        <w:rPr>
          <w:rFonts w:cstheme="minorHAnsi"/>
          <w:lang w:val="en-US"/>
        </w:rPr>
      </w:pPr>
      <w:r w:rsidRPr="00FC6C64">
        <w:rPr>
          <w:rFonts w:cstheme="minorHAnsi"/>
          <w:lang w:val="en-US"/>
        </w:rPr>
        <w:t xml:space="preserve">Lowrey, JR, Smithies, RH and </w:t>
      </w:r>
      <w:proofErr w:type="spellStart"/>
      <w:r w:rsidRPr="00FC6C64">
        <w:rPr>
          <w:rFonts w:cstheme="minorHAnsi"/>
          <w:lang w:val="en-US"/>
        </w:rPr>
        <w:t>Grech</w:t>
      </w:r>
      <w:proofErr w:type="spellEnd"/>
      <w:r w:rsidRPr="00FC6C64">
        <w:rPr>
          <w:rFonts w:cstheme="minorHAnsi"/>
          <w:lang w:val="en-US"/>
        </w:rPr>
        <w:t>, LL 2021, Eastern Goldfields geochemical barcoding project — notes to accompany 2021 data release: Geological Survey of Western Australia, Record 2021/5, 4p.</w:t>
      </w:r>
    </w:p>
    <w:p w14:paraId="114A1115" w14:textId="08BF7819" w:rsidR="00FC6C64" w:rsidRPr="00FC6C64" w:rsidRDefault="00FC6C64" w:rsidP="00FC6C64">
      <w:pPr>
        <w:rPr>
          <w:rFonts w:cstheme="minorHAnsi"/>
          <w:color w:val="222222"/>
          <w:shd w:val="clear" w:color="auto" w:fill="FFFFFF"/>
        </w:rPr>
      </w:pPr>
      <w:r w:rsidRPr="00FC6C64">
        <w:rPr>
          <w:rFonts w:cstheme="minorHAnsi"/>
          <w:color w:val="222222"/>
          <w:shd w:val="clear" w:color="auto" w:fill="FFFFFF"/>
        </w:rPr>
        <w:t xml:space="preserve">Cassidy, K.F., Champion, D.C., McNaughton, N.J., Fletcher, I.R., Whitaker, A.J., </w:t>
      </w:r>
      <w:proofErr w:type="spellStart"/>
      <w:r w:rsidRPr="00FC6C64">
        <w:rPr>
          <w:rFonts w:cstheme="minorHAnsi"/>
          <w:color w:val="222222"/>
          <w:shd w:val="clear" w:color="auto" w:fill="FFFFFF"/>
        </w:rPr>
        <w:t>Bastrakova</w:t>
      </w:r>
      <w:proofErr w:type="spellEnd"/>
      <w:r w:rsidRPr="00FC6C64">
        <w:rPr>
          <w:rFonts w:cstheme="minorHAnsi"/>
          <w:color w:val="222222"/>
          <w:shd w:val="clear" w:color="auto" w:fill="FFFFFF"/>
        </w:rPr>
        <w:t xml:space="preserve">, I.V. and Budd, A.R., 2002. Characterisation and Metallogenic Significance of Archaean Granitoids of the </w:t>
      </w:r>
      <w:proofErr w:type="spellStart"/>
      <w:r w:rsidRPr="00FC6C64">
        <w:rPr>
          <w:rFonts w:cstheme="minorHAnsi"/>
          <w:color w:val="222222"/>
          <w:shd w:val="clear" w:color="auto" w:fill="FFFFFF"/>
        </w:rPr>
        <w:t>Yilgarn</w:t>
      </w:r>
      <w:proofErr w:type="spellEnd"/>
      <w:r w:rsidRPr="00FC6C64">
        <w:rPr>
          <w:rFonts w:cstheme="minorHAnsi"/>
          <w:color w:val="222222"/>
          <w:shd w:val="clear" w:color="auto" w:fill="FFFFFF"/>
        </w:rPr>
        <w:t xml:space="preserve"> Craton, Western Australia: Results of Research Carried Out as </w:t>
      </w:r>
      <w:proofErr w:type="spellStart"/>
      <w:r w:rsidRPr="00FC6C64">
        <w:rPr>
          <w:rFonts w:cstheme="minorHAnsi"/>
          <w:color w:val="222222"/>
          <w:shd w:val="clear" w:color="auto" w:fill="FFFFFF"/>
        </w:rPr>
        <w:t>MERlWA</w:t>
      </w:r>
      <w:proofErr w:type="spellEnd"/>
      <w:r w:rsidRPr="00FC6C64">
        <w:rPr>
          <w:rFonts w:cstheme="minorHAnsi"/>
          <w:color w:val="222222"/>
          <w:shd w:val="clear" w:color="auto" w:fill="FFFFFF"/>
        </w:rPr>
        <w:t xml:space="preserve"> Project No. M281 at the Key Centre for Strategic Mineral Deposits, the University of Western Australia and Australian Geological Survey Organisation. Minerals and Energy Research Institute of Western Australia.</w:t>
      </w:r>
    </w:p>
    <w:p w14:paraId="346F11E7" w14:textId="44C46F17" w:rsidR="00FC6C64" w:rsidRPr="00FC6C64" w:rsidRDefault="00FC6C64" w:rsidP="00FC6C64">
      <w:pPr>
        <w:rPr>
          <w:rFonts w:cstheme="minorHAnsi"/>
          <w:color w:val="222222"/>
          <w:shd w:val="clear" w:color="auto" w:fill="FFFFFF"/>
        </w:rPr>
      </w:pPr>
      <w:r w:rsidRPr="00FC6C64">
        <w:rPr>
          <w:rFonts w:cstheme="minorHAnsi"/>
          <w:color w:val="222222"/>
          <w:shd w:val="clear" w:color="auto" w:fill="FFFFFF"/>
        </w:rPr>
        <w:t xml:space="preserve">Crawford, A.J. and Doyle, M.G., 2016. Granulite-hosted gold: tectonic setting and </w:t>
      </w:r>
      <w:proofErr w:type="spellStart"/>
      <w:r w:rsidRPr="00FC6C64">
        <w:rPr>
          <w:rFonts w:cstheme="minorHAnsi"/>
          <w:color w:val="222222"/>
          <w:shd w:val="clear" w:color="auto" w:fill="FFFFFF"/>
        </w:rPr>
        <w:t>lithogeochemistry</w:t>
      </w:r>
      <w:proofErr w:type="spellEnd"/>
      <w:r w:rsidRPr="00FC6C64">
        <w:rPr>
          <w:rFonts w:cstheme="minorHAnsi"/>
          <w:color w:val="222222"/>
          <w:shd w:val="clear" w:color="auto" w:fill="FFFFFF"/>
        </w:rPr>
        <w:t xml:space="preserve"> of the Tropicana Deposit, Western Australia. </w:t>
      </w:r>
      <w:r w:rsidRPr="00FC6C64">
        <w:rPr>
          <w:rFonts w:cstheme="minorHAnsi"/>
          <w:i/>
          <w:iCs/>
          <w:color w:val="222222"/>
          <w:shd w:val="clear" w:color="auto" w:fill="FFFFFF"/>
        </w:rPr>
        <w:t>Economic Geology</w:t>
      </w:r>
      <w:r w:rsidRPr="00FC6C64">
        <w:rPr>
          <w:rFonts w:cstheme="minorHAnsi"/>
          <w:color w:val="222222"/>
          <w:shd w:val="clear" w:color="auto" w:fill="FFFFFF"/>
        </w:rPr>
        <w:t>, </w:t>
      </w:r>
      <w:r w:rsidRPr="00FC6C64">
        <w:rPr>
          <w:rFonts w:cstheme="minorHAnsi"/>
          <w:i/>
          <w:iCs/>
          <w:color w:val="222222"/>
          <w:shd w:val="clear" w:color="auto" w:fill="FFFFFF"/>
        </w:rPr>
        <w:t>111</w:t>
      </w:r>
      <w:r w:rsidRPr="00FC6C64">
        <w:rPr>
          <w:rFonts w:cstheme="minorHAnsi"/>
          <w:color w:val="222222"/>
          <w:shd w:val="clear" w:color="auto" w:fill="FFFFFF"/>
        </w:rPr>
        <w:t>(2), pp.395-420.</w:t>
      </w:r>
    </w:p>
    <w:p w14:paraId="3EE6A81D" w14:textId="5398D32F" w:rsidR="00FC6C64" w:rsidRPr="00FC6C64" w:rsidRDefault="00FC6C64" w:rsidP="00FC6C64">
      <w:pPr>
        <w:rPr>
          <w:rFonts w:cstheme="minorHAnsi"/>
          <w:lang w:val="en-US"/>
        </w:rPr>
      </w:pPr>
      <w:r w:rsidRPr="00FC6C64">
        <w:rPr>
          <w:rFonts w:cstheme="minorHAnsi"/>
          <w:lang w:val="en-US"/>
        </w:rPr>
        <w:t xml:space="preserve">Loucks, R.R., 2014. Distinctive composition of copper-ore-forming </w:t>
      </w:r>
      <w:proofErr w:type="spellStart"/>
      <w:r w:rsidRPr="00FC6C64">
        <w:rPr>
          <w:rFonts w:cstheme="minorHAnsi"/>
          <w:lang w:val="en-US"/>
        </w:rPr>
        <w:t>arcmagmas</w:t>
      </w:r>
      <w:proofErr w:type="spellEnd"/>
      <w:r w:rsidRPr="00FC6C64">
        <w:rPr>
          <w:rFonts w:cstheme="minorHAnsi"/>
          <w:lang w:val="en-US"/>
        </w:rPr>
        <w:t>. Australian Journal of Earth Sciences, 61(1), pp.5-16.</w:t>
      </w:r>
    </w:p>
    <w:sectPr w:rsidR="00FC6C64" w:rsidRPr="00FC6C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30E20" w14:textId="77777777" w:rsidR="00B15A43" w:rsidRDefault="00B15A43" w:rsidP="00A609BF">
      <w:pPr>
        <w:spacing w:after="0" w:line="240" w:lineRule="auto"/>
      </w:pPr>
      <w:r>
        <w:separator/>
      </w:r>
    </w:p>
  </w:endnote>
  <w:endnote w:type="continuationSeparator" w:id="0">
    <w:p w14:paraId="4206A174" w14:textId="77777777" w:rsidR="00B15A43" w:rsidRDefault="00B15A43" w:rsidP="00A6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99DD0" w14:textId="77777777" w:rsidR="00B15A43" w:rsidRDefault="00B15A43" w:rsidP="00A609BF">
      <w:pPr>
        <w:spacing w:after="0" w:line="240" w:lineRule="auto"/>
      </w:pPr>
      <w:r>
        <w:separator/>
      </w:r>
    </w:p>
  </w:footnote>
  <w:footnote w:type="continuationSeparator" w:id="0">
    <w:p w14:paraId="2CC8946F" w14:textId="77777777" w:rsidR="00B15A43" w:rsidRDefault="00B15A43" w:rsidP="00A6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10C6A"/>
    <w:multiLevelType w:val="hybridMultilevel"/>
    <w:tmpl w:val="02B4F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B45"/>
    <w:rsid w:val="00013591"/>
    <w:rsid w:val="000536B3"/>
    <w:rsid w:val="00082B4A"/>
    <w:rsid w:val="000861B6"/>
    <w:rsid w:val="000928B9"/>
    <w:rsid w:val="000B353C"/>
    <w:rsid w:val="000D14B3"/>
    <w:rsid w:val="000D7126"/>
    <w:rsid w:val="001350CA"/>
    <w:rsid w:val="00135C5F"/>
    <w:rsid w:val="00145C5E"/>
    <w:rsid w:val="00165FE7"/>
    <w:rsid w:val="00190E2E"/>
    <w:rsid w:val="001B5B94"/>
    <w:rsid w:val="001C1053"/>
    <w:rsid w:val="00205BE1"/>
    <w:rsid w:val="0021562C"/>
    <w:rsid w:val="00224215"/>
    <w:rsid w:val="00230F83"/>
    <w:rsid w:val="00247327"/>
    <w:rsid w:val="002647E8"/>
    <w:rsid w:val="0028306C"/>
    <w:rsid w:val="002943B1"/>
    <w:rsid w:val="002D7FEB"/>
    <w:rsid w:val="00305BB6"/>
    <w:rsid w:val="0032576F"/>
    <w:rsid w:val="00361DCA"/>
    <w:rsid w:val="00374077"/>
    <w:rsid w:val="00392636"/>
    <w:rsid w:val="0039488B"/>
    <w:rsid w:val="003A152B"/>
    <w:rsid w:val="003B077F"/>
    <w:rsid w:val="003B41DF"/>
    <w:rsid w:val="003C05CD"/>
    <w:rsid w:val="004571E2"/>
    <w:rsid w:val="00467E58"/>
    <w:rsid w:val="00470381"/>
    <w:rsid w:val="0049118F"/>
    <w:rsid w:val="004A3E32"/>
    <w:rsid w:val="004A7763"/>
    <w:rsid w:val="004C6891"/>
    <w:rsid w:val="004D200C"/>
    <w:rsid w:val="004E605A"/>
    <w:rsid w:val="004E709F"/>
    <w:rsid w:val="004F602D"/>
    <w:rsid w:val="00520951"/>
    <w:rsid w:val="00532B7D"/>
    <w:rsid w:val="0053496F"/>
    <w:rsid w:val="005560A7"/>
    <w:rsid w:val="005632C7"/>
    <w:rsid w:val="00563912"/>
    <w:rsid w:val="005945DC"/>
    <w:rsid w:val="005C5CA1"/>
    <w:rsid w:val="005E36F4"/>
    <w:rsid w:val="006216D7"/>
    <w:rsid w:val="006263C0"/>
    <w:rsid w:val="006505E2"/>
    <w:rsid w:val="00681E39"/>
    <w:rsid w:val="00683F0C"/>
    <w:rsid w:val="00697C1D"/>
    <w:rsid w:val="006A721E"/>
    <w:rsid w:val="006D155D"/>
    <w:rsid w:val="006D677F"/>
    <w:rsid w:val="00746547"/>
    <w:rsid w:val="00750610"/>
    <w:rsid w:val="007D4433"/>
    <w:rsid w:val="008024BC"/>
    <w:rsid w:val="00811A77"/>
    <w:rsid w:val="00815A35"/>
    <w:rsid w:val="0083486F"/>
    <w:rsid w:val="00842085"/>
    <w:rsid w:val="0084470C"/>
    <w:rsid w:val="008A06B9"/>
    <w:rsid w:val="008B76FD"/>
    <w:rsid w:val="008C1532"/>
    <w:rsid w:val="008D3F0C"/>
    <w:rsid w:val="008F406E"/>
    <w:rsid w:val="00920313"/>
    <w:rsid w:val="00944845"/>
    <w:rsid w:val="009510B5"/>
    <w:rsid w:val="00953B01"/>
    <w:rsid w:val="009B1267"/>
    <w:rsid w:val="009B65CC"/>
    <w:rsid w:val="009E3B45"/>
    <w:rsid w:val="009F5284"/>
    <w:rsid w:val="00A40D83"/>
    <w:rsid w:val="00A57505"/>
    <w:rsid w:val="00A609BF"/>
    <w:rsid w:val="00A63EC0"/>
    <w:rsid w:val="00A660B5"/>
    <w:rsid w:val="00A7358C"/>
    <w:rsid w:val="00AB08DA"/>
    <w:rsid w:val="00AD50A2"/>
    <w:rsid w:val="00AD6144"/>
    <w:rsid w:val="00AE39C9"/>
    <w:rsid w:val="00AF5798"/>
    <w:rsid w:val="00B15A43"/>
    <w:rsid w:val="00B246D3"/>
    <w:rsid w:val="00B50BF9"/>
    <w:rsid w:val="00B56C7D"/>
    <w:rsid w:val="00B82047"/>
    <w:rsid w:val="00BB1212"/>
    <w:rsid w:val="00BB6FE0"/>
    <w:rsid w:val="00BD2B31"/>
    <w:rsid w:val="00C149DC"/>
    <w:rsid w:val="00C36B68"/>
    <w:rsid w:val="00C457A3"/>
    <w:rsid w:val="00C85BBF"/>
    <w:rsid w:val="00C92094"/>
    <w:rsid w:val="00CA0596"/>
    <w:rsid w:val="00CC216C"/>
    <w:rsid w:val="00CC42DA"/>
    <w:rsid w:val="00CC54C4"/>
    <w:rsid w:val="00CD29DA"/>
    <w:rsid w:val="00CE0283"/>
    <w:rsid w:val="00CE0E6A"/>
    <w:rsid w:val="00D201A7"/>
    <w:rsid w:val="00D40AF9"/>
    <w:rsid w:val="00D44C9F"/>
    <w:rsid w:val="00DA1333"/>
    <w:rsid w:val="00DA7B9E"/>
    <w:rsid w:val="00E055F8"/>
    <w:rsid w:val="00E22805"/>
    <w:rsid w:val="00E24A4E"/>
    <w:rsid w:val="00E70781"/>
    <w:rsid w:val="00E75E8F"/>
    <w:rsid w:val="00E85004"/>
    <w:rsid w:val="00EB333B"/>
    <w:rsid w:val="00EB5624"/>
    <w:rsid w:val="00ED0CFA"/>
    <w:rsid w:val="00ED2922"/>
    <w:rsid w:val="00EE39F7"/>
    <w:rsid w:val="00EE68F5"/>
    <w:rsid w:val="00F1098F"/>
    <w:rsid w:val="00F15F79"/>
    <w:rsid w:val="00F220B7"/>
    <w:rsid w:val="00F424D9"/>
    <w:rsid w:val="00F747DA"/>
    <w:rsid w:val="00F77A78"/>
    <w:rsid w:val="00F916A9"/>
    <w:rsid w:val="00FC3ED9"/>
    <w:rsid w:val="00FC4749"/>
    <w:rsid w:val="00FC6C64"/>
    <w:rsid w:val="00FE3F82"/>
    <w:rsid w:val="00FE52E2"/>
    <w:rsid w:val="00FF37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590A4"/>
  <w15:chartTrackingRefBased/>
  <w15:docId w15:val="{37AF2042-9347-4461-9869-253AA7A3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7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20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200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C474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40AF9"/>
    <w:pPr>
      <w:ind w:left="720"/>
      <w:contextualSpacing/>
    </w:pPr>
  </w:style>
  <w:style w:type="character" w:styleId="CommentReference">
    <w:name w:val="annotation reference"/>
    <w:basedOn w:val="DefaultParagraphFont"/>
    <w:uiPriority w:val="99"/>
    <w:semiHidden/>
    <w:unhideWhenUsed/>
    <w:rsid w:val="001350CA"/>
    <w:rPr>
      <w:sz w:val="16"/>
      <w:szCs w:val="16"/>
    </w:rPr>
  </w:style>
  <w:style w:type="paragraph" w:styleId="CommentText">
    <w:name w:val="annotation text"/>
    <w:basedOn w:val="Normal"/>
    <w:link w:val="CommentTextChar"/>
    <w:uiPriority w:val="99"/>
    <w:semiHidden/>
    <w:unhideWhenUsed/>
    <w:rsid w:val="001350CA"/>
    <w:pPr>
      <w:spacing w:line="240" w:lineRule="auto"/>
    </w:pPr>
    <w:rPr>
      <w:sz w:val="20"/>
      <w:szCs w:val="20"/>
    </w:rPr>
  </w:style>
  <w:style w:type="character" w:customStyle="1" w:styleId="CommentTextChar">
    <w:name w:val="Comment Text Char"/>
    <w:basedOn w:val="DefaultParagraphFont"/>
    <w:link w:val="CommentText"/>
    <w:uiPriority w:val="99"/>
    <w:semiHidden/>
    <w:rsid w:val="001350CA"/>
    <w:rPr>
      <w:sz w:val="20"/>
      <w:szCs w:val="20"/>
    </w:rPr>
  </w:style>
  <w:style w:type="paragraph" w:styleId="CommentSubject">
    <w:name w:val="annotation subject"/>
    <w:basedOn w:val="CommentText"/>
    <w:next w:val="CommentText"/>
    <w:link w:val="CommentSubjectChar"/>
    <w:uiPriority w:val="99"/>
    <w:semiHidden/>
    <w:unhideWhenUsed/>
    <w:rsid w:val="001350CA"/>
    <w:rPr>
      <w:b/>
      <w:bCs/>
    </w:rPr>
  </w:style>
  <w:style w:type="character" w:customStyle="1" w:styleId="CommentSubjectChar">
    <w:name w:val="Comment Subject Char"/>
    <w:basedOn w:val="CommentTextChar"/>
    <w:link w:val="CommentSubject"/>
    <w:uiPriority w:val="99"/>
    <w:semiHidden/>
    <w:rsid w:val="001350CA"/>
    <w:rPr>
      <w:b/>
      <w:bCs/>
      <w:sz w:val="20"/>
      <w:szCs w:val="20"/>
    </w:rPr>
  </w:style>
  <w:style w:type="paragraph" w:styleId="Header">
    <w:name w:val="header"/>
    <w:basedOn w:val="Normal"/>
    <w:link w:val="HeaderChar"/>
    <w:uiPriority w:val="99"/>
    <w:unhideWhenUsed/>
    <w:rsid w:val="00A6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9BF"/>
  </w:style>
  <w:style w:type="paragraph" w:styleId="Footer">
    <w:name w:val="footer"/>
    <w:basedOn w:val="Normal"/>
    <w:link w:val="FooterChar"/>
    <w:uiPriority w:val="99"/>
    <w:unhideWhenUsed/>
    <w:rsid w:val="00A6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867645">
      <w:bodyDiv w:val="1"/>
      <w:marLeft w:val="0"/>
      <w:marRight w:val="0"/>
      <w:marTop w:val="0"/>
      <w:marBottom w:val="0"/>
      <w:divBdr>
        <w:top w:val="none" w:sz="0" w:space="0" w:color="auto"/>
        <w:left w:val="none" w:sz="0" w:space="0" w:color="auto"/>
        <w:bottom w:val="none" w:sz="0" w:space="0" w:color="auto"/>
        <w:right w:val="none" w:sz="0" w:space="0" w:color="auto"/>
      </w:divBdr>
    </w:div>
    <w:div w:id="130596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emf"/><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10742</TotalTime>
  <Pages>34</Pages>
  <Words>5073</Words>
  <Characters>28919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Halley</dc:creator>
  <cp:keywords/>
  <dc:description/>
  <cp:lastModifiedBy>Scott Halley</cp:lastModifiedBy>
  <cp:revision>40</cp:revision>
  <dcterms:created xsi:type="dcterms:W3CDTF">2021-07-16T02:09:00Z</dcterms:created>
  <dcterms:modified xsi:type="dcterms:W3CDTF">2021-10-07T23:55:00Z</dcterms:modified>
</cp:coreProperties>
</file>