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61C8" w14:textId="7C92BB9B" w:rsidR="00B01DF0" w:rsidRDefault="00B01DF0" w:rsidP="00B01DF0">
      <w:pPr>
        <w:rPr>
          <w:b/>
          <w:bCs/>
          <w:sz w:val="56"/>
          <w:szCs w:val="56"/>
          <w:lang w:val="en-US"/>
        </w:rPr>
      </w:pPr>
      <w:r w:rsidRPr="00B01DF0">
        <w:rPr>
          <w:b/>
          <w:bCs/>
          <w:noProof/>
          <w:sz w:val="56"/>
          <w:szCs w:val="56"/>
          <w:lang w:val="en-US"/>
        </w:rPr>
        <w:drawing>
          <wp:anchor distT="0" distB="0" distL="114300" distR="114300" simplePos="0" relativeHeight="251660288" behindDoc="0" locked="0" layoutInCell="1" allowOverlap="1" wp14:anchorId="70DAAED3" wp14:editId="13CF00C5">
            <wp:simplePos x="0" y="0"/>
            <wp:positionH relativeFrom="column">
              <wp:posOffset>0</wp:posOffset>
            </wp:positionH>
            <wp:positionV relativeFrom="paragraph">
              <wp:posOffset>125730</wp:posOffset>
            </wp:positionV>
            <wp:extent cx="2159635" cy="784225"/>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59635" cy="784225"/>
                    </a:xfrm>
                    <a:prstGeom prst="rect">
                      <a:avLst/>
                    </a:prstGeom>
                  </pic:spPr>
                </pic:pic>
              </a:graphicData>
            </a:graphic>
            <wp14:sizeRelH relativeFrom="margin">
              <wp14:pctWidth>0</wp14:pctWidth>
            </wp14:sizeRelH>
            <wp14:sizeRelV relativeFrom="margin">
              <wp14:pctHeight>0</wp14:pctHeight>
            </wp14:sizeRelV>
          </wp:anchor>
        </w:drawing>
      </w:r>
      <w:r w:rsidRPr="00B01DF0">
        <w:rPr>
          <w:b/>
          <w:bCs/>
          <w:noProof/>
          <w:sz w:val="56"/>
          <w:szCs w:val="56"/>
          <w:lang w:val="en-US"/>
        </w:rPr>
        <w:drawing>
          <wp:anchor distT="0" distB="0" distL="114300" distR="114300" simplePos="0" relativeHeight="251659264" behindDoc="0" locked="0" layoutInCell="1" allowOverlap="1" wp14:anchorId="32250E2A" wp14:editId="63356E22">
            <wp:simplePos x="0" y="0"/>
            <wp:positionH relativeFrom="column">
              <wp:posOffset>2622550</wp:posOffset>
            </wp:positionH>
            <wp:positionV relativeFrom="paragraph">
              <wp:posOffset>175895</wp:posOffset>
            </wp:positionV>
            <wp:extent cx="2879725" cy="575945"/>
            <wp:effectExtent l="0" t="0" r="0" b="0"/>
            <wp:wrapSquare wrapText="right"/>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eral Mapping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575945"/>
                    </a:xfrm>
                    <a:prstGeom prst="rect">
                      <a:avLst/>
                    </a:prstGeom>
                  </pic:spPr>
                </pic:pic>
              </a:graphicData>
            </a:graphic>
            <wp14:sizeRelH relativeFrom="margin">
              <wp14:pctWidth>0</wp14:pctWidth>
            </wp14:sizeRelH>
            <wp14:sizeRelV relativeFrom="margin">
              <wp14:pctHeight>0</wp14:pctHeight>
            </wp14:sizeRelV>
          </wp:anchor>
        </w:drawing>
      </w:r>
    </w:p>
    <w:p w14:paraId="57310894" w14:textId="77777777" w:rsidR="0000747A" w:rsidRDefault="0000747A" w:rsidP="0000747A">
      <w:pPr>
        <w:jc w:val="center"/>
        <w:rPr>
          <w:b/>
          <w:bCs/>
          <w:sz w:val="56"/>
          <w:szCs w:val="56"/>
          <w:lang w:val="en-US"/>
        </w:rPr>
      </w:pPr>
      <w:r w:rsidRPr="00457C19">
        <w:rPr>
          <w:b/>
          <w:bCs/>
          <w:sz w:val="56"/>
          <w:szCs w:val="56"/>
          <w:lang w:val="en-US"/>
        </w:rPr>
        <w:t>Porphyry Cu Geochemistry Workshop</w:t>
      </w:r>
    </w:p>
    <w:p w14:paraId="0F23026A" w14:textId="336759FC" w:rsidR="0000747A" w:rsidRPr="00457C19" w:rsidRDefault="0000747A" w:rsidP="0000747A">
      <w:pPr>
        <w:jc w:val="center"/>
        <w:rPr>
          <w:b/>
          <w:bCs/>
          <w:sz w:val="56"/>
          <w:szCs w:val="56"/>
          <w:lang w:val="en-US"/>
        </w:rPr>
      </w:pPr>
      <w:r>
        <w:rPr>
          <w:b/>
          <w:bCs/>
          <w:sz w:val="56"/>
          <w:szCs w:val="56"/>
          <w:lang w:val="en-US"/>
        </w:rPr>
        <w:t xml:space="preserve">Part </w:t>
      </w:r>
      <w:r>
        <w:rPr>
          <w:b/>
          <w:bCs/>
          <w:sz w:val="56"/>
          <w:szCs w:val="56"/>
          <w:lang w:val="en-US"/>
        </w:rPr>
        <w:t>3</w:t>
      </w:r>
      <w:r>
        <w:rPr>
          <w:b/>
          <w:bCs/>
          <w:sz w:val="56"/>
          <w:szCs w:val="56"/>
          <w:lang w:val="en-US"/>
        </w:rPr>
        <w:t xml:space="preserve"> </w:t>
      </w:r>
      <w:r>
        <w:rPr>
          <w:b/>
          <w:bCs/>
          <w:sz w:val="56"/>
          <w:szCs w:val="56"/>
          <w:lang w:val="en-US"/>
        </w:rPr>
        <w:t>Mineralogy from SWIR</w:t>
      </w:r>
    </w:p>
    <w:p w14:paraId="0CC3D2E0" w14:textId="77777777" w:rsidR="0000747A" w:rsidRDefault="0000747A" w:rsidP="00457C19">
      <w:pPr>
        <w:jc w:val="center"/>
        <w:rPr>
          <w:b/>
          <w:bCs/>
          <w:sz w:val="40"/>
          <w:szCs w:val="40"/>
          <w:lang w:val="en-US"/>
        </w:rPr>
      </w:pPr>
    </w:p>
    <w:p w14:paraId="6C046268" w14:textId="1EF3DF22" w:rsidR="00457C19" w:rsidRDefault="00540A15" w:rsidP="00457C19">
      <w:pPr>
        <w:jc w:val="center"/>
        <w:rPr>
          <w:lang w:val="en-US"/>
        </w:rPr>
      </w:pPr>
      <w:r w:rsidRPr="00540A15">
        <w:drawing>
          <wp:inline distT="0" distB="0" distL="0" distR="0" wp14:anchorId="3E78F221" wp14:editId="33A5B9D9">
            <wp:extent cx="5731510" cy="43478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347845"/>
                    </a:xfrm>
                    <a:prstGeom prst="rect">
                      <a:avLst/>
                    </a:prstGeom>
                  </pic:spPr>
                </pic:pic>
              </a:graphicData>
            </a:graphic>
          </wp:inline>
        </w:drawing>
      </w:r>
    </w:p>
    <w:p w14:paraId="59F6E577" w14:textId="77777777" w:rsidR="00457C19" w:rsidRDefault="00457C19" w:rsidP="00457C19">
      <w:pPr>
        <w:jc w:val="center"/>
        <w:rPr>
          <w:lang w:val="en-US"/>
        </w:rPr>
      </w:pPr>
    </w:p>
    <w:p w14:paraId="1E917DC1" w14:textId="0B51C22E" w:rsidR="00457C19" w:rsidRDefault="00457C19" w:rsidP="00457C19">
      <w:pPr>
        <w:rPr>
          <w:lang w:val="en-US"/>
        </w:rPr>
      </w:pPr>
      <w:r>
        <w:rPr>
          <w:lang w:val="en-US"/>
        </w:rPr>
        <w:t xml:space="preserve">Scott Halley, </w:t>
      </w:r>
      <w:r w:rsidR="002B397D">
        <w:rPr>
          <w:lang w:val="en-US"/>
        </w:rPr>
        <w:t>12</w:t>
      </w:r>
      <w:r>
        <w:rPr>
          <w:lang w:val="en-US"/>
        </w:rPr>
        <w:t>/0</w:t>
      </w:r>
      <w:r w:rsidR="002B397D">
        <w:rPr>
          <w:lang w:val="en-US"/>
        </w:rPr>
        <w:t>5</w:t>
      </w:r>
      <w:r>
        <w:rPr>
          <w:lang w:val="en-US"/>
        </w:rPr>
        <w:t>/202</w:t>
      </w:r>
      <w:r w:rsidR="002B397D">
        <w:rPr>
          <w:lang w:val="en-US"/>
        </w:rPr>
        <w:t>1</w:t>
      </w:r>
    </w:p>
    <w:p w14:paraId="21CAEEC3" w14:textId="01367E7E" w:rsidR="00457C19" w:rsidRDefault="00457C19" w:rsidP="00457C19">
      <w:pPr>
        <w:rPr>
          <w:lang w:val="en-US"/>
        </w:rPr>
      </w:pPr>
    </w:p>
    <w:p w14:paraId="276EDDB6" w14:textId="7681CE26" w:rsidR="00951FA7" w:rsidRDefault="00951FA7" w:rsidP="00951FA7">
      <w:pPr>
        <w:pStyle w:val="Heading1"/>
        <w:rPr>
          <w:color w:val="auto"/>
        </w:rPr>
      </w:pPr>
      <w:r>
        <w:rPr>
          <w:color w:val="auto"/>
        </w:rPr>
        <w:lastRenderedPageBreak/>
        <w:t>Module 3: Combined chemical analyses and Corescan.</w:t>
      </w:r>
    </w:p>
    <w:p w14:paraId="6CCE842F" w14:textId="1F99A96F" w:rsidR="00951FA7" w:rsidRDefault="00B01DF0" w:rsidP="00951FA7">
      <w:r>
        <w:t xml:space="preserve">The objective of this exercise is to see how </w:t>
      </w:r>
      <w:r w:rsidR="0000747A">
        <w:t>whole rock</w:t>
      </w:r>
      <w:r>
        <w:t xml:space="preserve"> chemistry compare</w:t>
      </w:r>
      <w:r w:rsidR="0000747A">
        <w:t>s</w:t>
      </w:r>
      <w:r>
        <w:t xml:space="preserve"> with SWIR data, and to understand the strengths and limitations of each method. This is the same data from the Alteration exercise </w:t>
      </w:r>
      <w:r w:rsidR="00104D69">
        <w:t xml:space="preserve">in Module 2, </w:t>
      </w:r>
      <w:r>
        <w:t xml:space="preserve">but with Corescan results included. There are some components of the mineralogy that are best interpreted from the chemical analysis of major elements, and some things that are best measured from spectral data. </w:t>
      </w:r>
      <w:r w:rsidR="00951FA7">
        <w:t xml:space="preserve">Open the file Corescan </w:t>
      </w:r>
      <w:proofErr w:type="spellStart"/>
      <w:r w:rsidR="00951FA7">
        <w:t>Exercise.gas</w:t>
      </w:r>
      <w:proofErr w:type="spellEnd"/>
      <w:r w:rsidR="00951FA7">
        <w:t xml:space="preserve">. </w:t>
      </w:r>
    </w:p>
    <w:p w14:paraId="26800557" w14:textId="1350D9C1" w:rsidR="009D43B3" w:rsidRDefault="009D43B3" w:rsidP="00951FA7">
      <w:r>
        <w:t>Workflow.</w:t>
      </w:r>
    </w:p>
    <w:p w14:paraId="1FBE70FF" w14:textId="337346FC" w:rsidR="009D43B3" w:rsidRDefault="009D43B3" w:rsidP="009D43B3">
      <w:pPr>
        <w:pStyle w:val="ListParagraph"/>
        <w:numPr>
          <w:ilvl w:val="0"/>
          <w:numId w:val="5"/>
        </w:numPr>
      </w:pPr>
      <w:r>
        <w:t xml:space="preserve">Make probability plots of </w:t>
      </w:r>
      <w:proofErr w:type="spellStart"/>
      <w:r>
        <w:t>corescan</w:t>
      </w:r>
      <w:proofErr w:type="spellEnd"/>
      <w:r>
        <w:t xml:space="preserve"> </w:t>
      </w:r>
      <w:proofErr w:type="spellStart"/>
      <w:r>
        <w:t>mineral_pct</w:t>
      </w:r>
      <w:proofErr w:type="spellEnd"/>
      <w:r>
        <w:t xml:space="preserve">, split by alteration type defined from </w:t>
      </w:r>
      <w:proofErr w:type="spellStart"/>
      <w:r>
        <w:t>wholerock</w:t>
      </w:r>
      <w:proofErr w:type="spellEnd"/>
      <w:r>
        <w:t xml:space="preserve"> assays.</w:t>
      </w:r>
    </w:p>
    <w:p w14:paraId="10901B54" w14:textId="77777777" w:rsidR="009D43B3" w:rsidRDefault="009D43B3" w:rsidP="009D43B3">
      <w:pPr>
        <w:pStyle w:val="ListParagraph"/>
        <w:numPr>
          <w:ilvl w:val="0"/>
          <w:numId w:val="5"/>
        </w:numPr>
      </w:pPr>
      <w:r>
        <w:t>Colour the geochem alteration diagrams, (</w:t>
      </w:r>
      <w:proofErr w:type="spellStart"/>
      <w:r>
        <w:t>eg</w:t>
      </w:r>
      <w:proofErr w:type="spellEnd"/>
      <w:r>
        <w:t xml:space="preserve"> K/Al vs Na/Al, Al-K-Mg ternary, Ca-Fe-S ternary) by a colour stretch of 10 equal ranges of the </w:t>
      </w:r>
      <w:proofErr w:type="spellStart"/>
      <w:r>
        <w:t>corescan</w:t>
      </w:r>
      <w:proofErr w:type="spellEnd"/>
      <w:r>
        <w:t xml:space="preserve"> </w:t>
      </w:r>
      <w:proofErr w:type="spellStart"/>
      <w:r>
        <w:t>mineral_pct</w:t>
      </w:r>
      <w:proofErr w:type="spellEnd"/>
      <w:r>
        <w:t xml:space="preserve"> values</w:t>
      </w:r>
    </w:p>
    <w:p w14:paraId="6876EE3D" w14:textId="7DC677F6" w:rsidR="009D43B3" w:rsidRDefault="009D43B3" w:rsidP="009D43B3">
      <w:pPr>
        <w:pStyle w:val="ListParagraph"/>
        <w:numPr>
          <w:ilvl w:val="0"/>
          <w:numId w:val="5"/>
        </w:numPr>
      </w:pPr>
      <w:r>
        <w:t xml:space="preserve">Use the Corescan minerals as a series of “indicator” minerals of particular alteration environments, ranked from most important to least important, </w:t>
      </w:r>
      <w:proofErr w:type="spellStart"/>
      <w:r>
        <w:t>eg</w:t>
      </w:r>
      <w:proofErr w:type="spellEnd"/>
      <w:r>
        <w:t xml:space="preserve"> Biotite= proximal potassic, Alunite = proximal AA, Kaolinite = distal AA, etc. </w:t>
      </w:r>
    </w:p>
    <w:p w14:paraId="44E1DEA2" w14:textId="05A94BB2" w:rsidR="00874416" w:rsidRDefault="00874416" w:rsidP="00951FA7">
      <w:r>
        <w:t>The Corescan results are composited to match the assay intervals. One of the ways in which the Corescan data is presented is a numeric value that record the percentage of pixels in each assay interval contain</w:t>
      </w:r>
      <w:r w:rsidR="000B553B">
        <w:t>ing</w:t>
      </w:r>
      <w:r>
        <w:t xml:space="preserve"> each recognised mineral phase. These values are denoted as </w:t>
      </w:r>
      <w:proofErr w:type="spellStart"/>
      <w:r>
        <w:t>mineral_pct</w:t>
      </w:r>
      <w:proofErr w:type="spellEnd"/>
      <w:r>
        <w:t>.</w:t>
      </w:r>
    </w:p>
    <w:p w14:paraId="19165167" w14:textId="77777777" w:rsidR="00874416" w:rsidRDefault="00874416" w:rsidP="00951FA7">
      <w:r>
        <w:t xml:space="preserve">From the list of Variables, select Alunite, Aspectral, </w:t>
      </w:r>
      <w:proofErr w:type="spellStart"/>
      <w:r>
        <w:t>Dark_mica</w:t>
      </w:r>
      <w:proofErr w:type="spellEnd"/>
      <w:r>
        <w:t xml:space="preserve">, Dickite, Chlorite, </w:t>
      </w:r>
      <w:proofErr w:type="spellStart"/>
      <w:r>
        <w:t>Fe_Oxide</w:t>
      </w:r>
      <w:proofErr w:type="spellEnd"/>
      <w:r>
        <w:t xml:space="preserve">, Gypsum, Kaolinite, Montmorillonite, Pyrophyllite, </w:t>
      </w:r>
      <w:proofErr w:type="spellStart"/>
      <w:r>
        <w:t>Silica_opaline</w:t>
      </w:r>
      <w:proofErr w:type="spellEnd"/>
      <w:r>
        <w:t xml:space="preserve"> and </w:t>
      </w:r>
      <w:proofErr w:type="spellStart"/>
      <w:r>
        <w:t>White_mica</w:t>
      </w:r>
      <w:proofErr w:type="spellEnd"/>
      <w:r>
        <w:t xml:space="preserve">. For these variables, create split probability plots, and then convert these to Cumulative Frequency plots. </w:t>
      </w:r>
    </w:p>
    <w:p w14:paraId="3DE2A90F" w14:textId="13A1057C" w:rsidR="00874416" w:rsidRDefault="00874416" w:rsidP="00951FA7">
      <w:r w:rsidRPr="00874416">
        <w:rPr>
          <w:noProof/>
        </w:rPr>
        <w:drawing>
          <wp:inline distT="0" distB="0" distL="0" distR="0" wp14:anchorId="235C140E" wp14:editId="2CACA529">
            <wp:extent cx="5731510" cy="163449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34490"/>
                    </a:xfrm>
                    <a:prstGeom prst="rect">
                      <a:avLst/>
                    </a:prstGeom>
                  </pic:spPr>
                </pic:pic>
              </a:graphicData>
            </a:graphic>
          </wp:inline>
        </w:drawing>
      </w:r>
    </w:p>
    <w:p w14:paraId="0E49919E" w14:textId="083D9751" w:rsidR="00874416" w:rsidRDefault="00874416" w:rsidP="00951FA7">
      <w:r>
        <w:t xml:space="preserve"> </w:t>
      </w:r>
    </w:p>
    <w:p w14:paraId="22D6EFCA" w14:textId="7AD30C8C" w:rsidR="00874416" w:rsidRDefault="00874416" w:rsidP="00951FA7">
      <w:r w:rsidRPr="00874416">
        <w:rPr>
          <w:noProof/>
        </w:rPr>
        <w:drawing>
          <wp:inline distT="0" distB="0" distL="0" distR="0" wp14:anchorId="5AD03F75" wp14:editId="259055D9">
            <wp:extent cx="5731510" cy="24257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25700"/>
                    </a:xfrm>
                    <a:prstGeom prst="rect">
                      <a:avLst/>
                    </a:prstGeom>
                  </pic:spPr>
                </pic:pic>
              </a:graphicData>
            </a:graphic>
          </wp:inline>
        </w:drawing>
      </w:r>
    </w:p>
    <w:p w14:paraId="0D955318" w14:textId="079517BE" w:rsidR="00874416" w:rsidRDefault="00874416" w:rsidP="00951FA7">
      <w:r w:rsidRPr="00874416">
        <w:rPr>
          <w:noProof/>
        </w:rPr>
        <w:lastRenderedPageBreak/>
        <w:drawing>
          <wp:inline distT="0" distB="0" distL="0" distR="0" wp14:anchorId="7CA1BE4D" wp14:editId="76033EA1">
            <wp:extent cx="981808" cy="1237955"/>
            <wp:effectExtent l="0" t="0" r="889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000931" cy="1262067"/>
                    </a:xfrm>
                    <a:prstGeom prst="rect">
                      <a:avLst/>
                    </a:prstGeom>
                    <a:ln>
                      <a:noFill/>
                    </a:ln>
                    <a:extLst>
                      <a:ext uri="{53640926-AAD7-44D8-BBD7-CCE9431645EC}">
                        <a14:shadowObscured xmlns:a14="http://schemas.microsoft.com/office/drawing/2010/main"/>
                      </a:ext>
                    </a:extLst>
                  </pic:spPr>
                </pic:pic>
              </a:graphicData>
            </a:graphic>
          </wp:inline>
        </w:drawing>
      </w:r>
    </w:p>
    <w:p w14:paraId="7DBC9402" w14:textId="23C4BF2C" w:rsidR="00845E2F" w:rsidRDefault="00845E2F" w:rsidP="00951FA7">
      <w:r>
        <w:t xml:space="preserve">The cumulative frequency plots allow us to evaluate the way we interpreted mineralogy from major elements. Alunite was inferred from samples that were low in Ca and had S/Fe ratios higher than pyrite. Some of the samples picked as alunite bearing have low </w:t>
      </w:r>
      <w:proofErr w:type="spellStart"/>
      <w:r>
        <w:t>corescan</w:t>
      </w:r>
      <w:proofErr w:type="spellEnd"/>
      <w:r>
        <w:t xml:space="preserve"> alunite counts, but some of the advanced argillic rocks are reporting high </w:t>
      </w:r>
      <w:proofErr w:type="spellStart"/>
      <w:r>
        <w:t>corescan</w:t>
      </w:r>
      <w:proofErr w:type="spellEnd"/>
      <w:r>
        <w:t xml:space="preserve"> alunite counts.</w:t>
      </w:r>
    </w:p>
    <w:p w14:paraId="4DE6C756" w14:textId="5A62F834" w:rsidR="00845E2F" w:rsidRDefault="00845E2F" w:rsidP="00951FA7">
      <w:r>
        <w:t xml:space="preserve">“Aspectral” will include dark rocks and things with a high quartz, </w:t>
      </w:r>
      <w:r w:rsidR="000B553B">
        <w:t>feldspar,</w:t>
      </w:r>
      <w:r>
        <w:t xml:space="preserve"> or pyrite content. It is unexpected that rocks with a high sericite content for example should report high Aspectral values. </w:t>
      </w:r>
    </w:p>
    <w:p w14:paraId="6F486FC3" w14:textId="27BC21F7" w:rsidR="00845E2F" w:rsidRDefault="00845E2F" w:rsidP="00951FA7">
      <w:r>
        <w:t>Biotite is a relatively weak infrared absorber, b</w:t>
      </w:r>
      <w:r w:rsidR="000B553B">
        <w:t>ut</w:t>
      </w:r>
      <w:r>
        <w:t xml:space="preserve"> SWIR methods still do a good job of recognising it. Relatively high biotite counts are reported in the Potassic and </w:t>
      </w:r>
      <w:proofErr w:type="spellStart"/>
      <w:r>
        <w:t>Feldspar_Sulfate</w:t>
      </w:r>
      <w:proofErr w:type="spellEnd"/>
      <w:r>
        <w:t xml:space="preserve"> groups as expected. If these rocks contained 5% to 10% by volume of hornblende phenocryst that had been replaced by biotite, then a </w:t>
      </w:r>
      <w:proofErr w:type="spellStart"/>
      <w:r>
        <w:t>dark_mica</w:t>
      </w:r>
      <w:proofErr w:type="spellEnd"/>
      <w:r>
        <w:t xml:space="preserve"> </w:t>
      </w:r>
      <w:proofErr w:type="spellStart"/>
      <w:r>
        <w:t>corescan</w:t>
      </w:r>
      <w:proofErr w:type="spellEnd"/>
      <w:r>
        <w:t xml:space="preserve"> percentage of as little as 3 to 4% is probably indicative of significant potassic alteration.</w:t>
      </w:r>
    </w:p>
    <w:p w14:paraId="5CA27933" w14:textId="6AC949FE" w:rsidR="00845E2F" w:rsidRDefault="00845E2F" w:rsidP="00951FA7">
      <w:r>
        <w:t>The proportion of dickite in this system is low. The advanced argillic aluminosilicates are dominated by pyrophyllite and kaolinite.</w:t>
      </w:r>
    </w:p>
    <w:p w14:paraId="472894CD" w14:textId="6505D061" w:rsidR="009D43B3" w:rsidRDefault="009D43B3" w:rsidP="00951FA7">
      <w:r>
        <w:t xml:space="preserve">Some of the rocks identified from the chemistry as being chlorite-rich have a very low chlorite </w:t>
      </w:r>
      <w:proofErr w:type="spellStart"/>
      <w:r>
        <w:t>corescan</w:t>
      </w:r>
      <w:proofErr w:type="spellEnd"/>
      <w:r>
        <w:t xml:space="preserve"> percentage. The same can also be said for white mica. </w:t>
      </w:r>
    </w:p>
    <w:p w14:paraId="7556CA13" w14:textId="18CAA898" w:rsidR="009D43B3" w:rsidRDefault="009D43B3" w:rsidP="00951FA7">
      <w:proofErr w:type="spellStart"/>
      <w:r>
        <w:t>Gyspum</w:t>
      </w:r>
      <w:proofErr w:type="spellEnd"/>
      <w:r>
        <w:t xml:space="preserve"> and anhydrite are weak infrared absorbers, and it looks like </w:t>
      </w:r>
      <w:r w:rsidR="000B553B">
        <w:t>C</w:t>
      </w:r>
      <w:r>
        <w:t xml:space="preserve">orescan has done a poor job of identifying the </w:t>
      </w:r>
      <w:proofErr w:type="spellStart"/>
      <w:r>
        <w:t>sulfates</w:t>
      </w:r>
      <w:proofErr w:type="spellEnd"/>
      <w:r>
        <w:t xml:space="preserve">. I suspect this is particularly true where the </w:t>
      </w:r>
      <w:proofErr w:type="spellStart"/>
      <w:r>
        <w:t>sulfates</w:t>
      </w:r>
      <w:proofErr w:type="spellEnd"/>
      <w:r>
        <w:t xml:space="preserve"> are in the groundmass rather than in veins.</w:t>
      </w:r>
    </w:p>
    <w:p w14:paraId="1A3A20D7" w14:textId="483568D9" w:rsidR="009D43B3" w:rsidRDefault="009D43B3" w:rsidP="00951FA7">
      <w:r>
        <w:t xml:space="preserve">Montmorillonite is difficult to interpret from assay data because most of the clays involve hydrolysis reactions with little change to the major element contents. It is common as shown in this data that </w:t>
      </w:r>
      <w:r w:rsidR="00FD704E">
        <w:t>many of the data points interpreted as partially sericitized samples are actually zones of argillic clay-rich alteration.</w:t>
      </w:r>
    </w:p>
    <w:p w14:paraId="44041A88" w14:textId="29832A5F" w:rsidR="00FD704E" w:rsidRDefault="00FD704E" w:rsidP="00951FA7">
      <w:r>
        <w:t xml:space="preserve">Now start looking at individual minerals and compare with the chemistry to assess whether </w:t>
      </w:r>
      <w:proofErr w:type="spellStart"/>
      <w:r>
        <w:t>corescan</w:t>
      </w:r>
      <w:proofErr w:type="spellEnd"/>
      <w:r>
        <w:t xml:space="preserve"> is identifying the correct features. In the Attribute Manager in the lower left corner, click the arrow for the drop-down box and select </w:t>
      </w:r>
      <w:proofErr w:type="spellStart"/>
      <w:r>
        <w:t>alunite_pct</w:t>
      </w:r>
      <w:proofErr w:type="spellEnd"/>
      <w:r>
        <w:t xml:space="preserve">, a linear rainbow colour scheme and 10 equal ranges. This will colour the plots by the percentages of alunite pixels in each assay interval. Make a Ca-Fe-S ternary </w:t>
      </w:r>
      <w:r w:rsidR="000B553B">
        <w:t>plot and</w:t>
      </w:r>
      <w:r>
        <w:t xml:space="preserve"> see where the alunite-bearing samples plot on this diagram. Note what the mineral percentages are in each of the colour bins. The only </w:t>
      </w:r>
      <w:r w:rsidRPr="001F24FB">
        <w:rPr>
          <w:i/>
          <w:iCs/>
        </w:rPr>
        <w:t>significant</w:t>
      </w:r>
      <w:r>
        <w:t xml:space="preserve"> alunite percentages are low Ca, with S/Fe &gt; pyrite</w:t>
      </w:r>
      <w:r w:rsidR="001F24FB">
        <w:t>. There are low percentages of alunite interpreted in Ca-bearing samples that look like they should have anhydrite. It is most unlikely that there would be any alunite in Ca-bearing rocks.</w:t>
      </w:r>
    </w:p>
    <w:p w14:paraId="764419B8" w14:textId="1B062008" w:rsidR="00FD704E" w:rsidRDefault="00FD704E" w:rsidP="00951FA7">
      <w:r w:rsidRPr="00FD704E">
        <w:rPr>
          <w:noProof/>
        </w:rPr>
        <w:lastRenderedPageBreak/>
        <w:drawing>
          <wp:inline distT="0" distB="0" distL="0" distR="0" wp14:anchorId="2CEE224C" wp14:editId="3C39003D">
            <wp:extent cx="4320000" cy="3336442"/>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336442"/>
                    </a:xfrm>
                    <a:prstGeom prst="rect">
                      <a:avLst/>
                    </a:prstGeom>
                  </pic:spPr>
                </pic:pic>
              </a:graphicData>
            </a:graphic>
          </wp:inline>
        </w:drawing>
      </w:r>
    </w:p>
    <w:p w14:paraId="55079BBC" w14:textId="77777777" w:rsidR="001F24FB" w:rsidRDefault="001F24FB" w:rsidP="00951FA7"/>
    <w:p w14:paraId="5D05CD13" w14:textId="560E0271" w:rsidR="001F24FB" w:rsidRDefault="001F24FB" w:rsidP="00951FA7">
      <w:r>
        <w:t>Next, change the colouring variable; make 10 equal ranges coloured by Aspectral.  This shows that the samples reporting a high aspectral component are strongly pyriti</w:t>
      </w:r>
      <w:r w:rsidR="00A73BEE">
        <w:t>c</w:t>
      </w:r>
      <w:r>
        <w:t xml:space="preserve"> or have a high feldspar component.</w:t>
      </w:r>
    </w:p>
    <w:p w14:paraId="3DE5A0BA" w14:textId="2D53C81A" w:rsidR="001F24FB" w:rsidRDefault="001F24FB" w:rsidP="00951FA7"/>
    <w:p w14:paraId="023060B2" w14:textId="72807D91" w:rsidR="001F24FB" w:rsidRDefault="001F24FB" w:rsidP="00951FA7">
      <w:r w:rsidRPr="001F24FB">
        <w:rPr>
          <w:noProof/>
        </w:rPr>
        <w:drawing>
          <wp:inline distT="0" distB="0" distL="0" distR="0" wp14:anchorId="5C6A1718" wp14:editId="319E1427">
            <wp:extent cx="5731510" cy="229235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92350"/>
                    </a:xfrm>
                    <a:prstGeom prst="rect">
                      <a:avLst/>
                    </a:prstGeom>
                  </pic:spPr>
                </pic:pic>
              </a:graphicData>
            </a:graphic>
          </wp:inline>
        </w:drawing>
      </w:r>
    </w:p>
    <w:p w14:paraId="465E1FAF" w14:textId="23F247BB" w:rsidR="00A73BEE" w:rsidRDefault="00A73BEE" w:rsidP="00951FA7"/>
    <w:p w14:paraId="20B68B88" w14:textId="16139589" w:rsidR="00A73BEE" w:rsidRDefault="00A73BEE">
      <w:r>
        <w:br w:type="page"/>
      </w:r>
    </w:p>
    <w:p w14:paraId="5F0D50AC" w14:textId="4E2B6A41" w:rsidR="00411334" w:rsidRDefault="00A73BEE" w:rsidP="00951FA7">
      <w:r>
        <w:lastRenderedPageBreak/>
        <w:t xml:space="preserve">Next, create 10 equal ranges coloured by </w:t>
      </w:r>
      <w:proofErr w:type="spellStart"/>
      <w:r>
        <w:t>dark_mica_pct</w:t>
      </w:r>
      <w:proofErr w:type="spellEnd"/>
      <w:r>
        <w:t xml:space="preserve">. Compare the patterns on the </w:t>
      </w:r>
      <w:r w:rsidR="00411334">
        <w:t xml:space="preserve">K/Al vs Na/Al, Al-K-Mg ternary and Ca-Fe-S ternary plots, and also note the percentage values in this colour spread. In particular look at the biotite contents along the anhydrite trend. It looks to me as though </w:t>
      </w:r>
      <w:proofErr w:type="spellStart"/>
      <w:r w:rsidR="00411334">
        <w:t>corescan</w:t>
      </w:r>
      <w:proofErr w:type="spellEnd"/>
      <w:r w:rsidR="00411334">
        <w:t xml:space="preserve"> is doing a particularly good job of picking biotite, most of the biotite occurs with anhydrite, and as a threshold for mapping potassic alteration, </w:t>
      </w:r>
      <w:proofErr w:type="spellStart"/>
      <w:r w:rsidR="00411334">
        <w:t>dark_mica_pct</w:t>
      </w:r>
      <w:proofErr w:type="spellEnd"/>
      <w:r w:rsidR="00411334">
        <w:t xml:space="preserve"> &gt; 3% probably works well. (Biotite spectra have some similarities with hornblende, and I suspect that at low </w:t>
      </w:r>
      <w:proofErr w:type="spellStart"/>
      <w:r w:rsidR="00411334">
        <w:t>biotite_pct</w:t>
      </w:r>
      <w:proofErr w:type="spellEnd"/>
      <w:r w:rsidR="00411334">
        <w:t xml:space="preserve"> values, there may be some ambiguity).</w:t>
      </w:r>
    </w:p>
    <w:p w14:paraId="53EC9379" w14:textId="52207146" w:rsidR="00A73BEE" w:rsidRDefault="00A73BEE" w:rsidP="00951FA7">
      <w:r w:rsidRPr="00A73BEE">
        <w:rPr>
          <w:noProof/>
        </w:rPr>
        <w:drawing>
          <wp:inline distT="0" distB="0" distL="0" distR="0" wp14:anchorId="7AA9F397" wp14:editId="12914F1D">
            <wp:extent cx="5731510" cy="484695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846955"/>
                    </a:xfrm>
                    <a:prstGeom prst="rect">
                      <a:avLst/>
                    </a:prstGeom>
                  </pic:spPr>
                </pic:pic>
              </a:graphicData>
            </a:graphic>
          </wp:inline>
        </w:drawing>
      </w:r>
    </w:p>
    <w:p w14:paraId="41A6750E" w14:textId="29E55FC5" w:rsidR="00411334" w:rsidRDefault="00411334" w:rsidP="00951FA7"/>
    <w:p w14:paraId="5F97DF8E" w14:textId="6068465E" w:rsidR="00411334" w:rsidRDefault="00411334">
      <w:r>
        <w:br w:type="page"/>
      </w:r>
    </w:p>
    <w:p w14:paraId="1B6060B0" w14:textId="1EE6E1F6" w:rsidR="00411334" w:rsidRDefault="00411334" w:rsidP="00951FA7">
      <w:r>
        <w:lastRenderedPageBreak/>
        <w:t xml:space="preserve">Make 10 equal colour ranges of </w:t>
      </w:r>
      <w:proofErr w:type="spellStart"/>
      <w:r>
        <w:t>chlorite</w:t>
      </w:r>
      <w:r w:rsidR="003629A5">
        <w:t>_pct</w:t>
      </w:r>
      <w:proofErr w:type="spellEnd"/>
      <w:r w:rsidR="003629A5">
        <w:t xml:space="preserve"> and look at the Al-K-Mg ternary plot. Some of these data points show unexpectedly low chlorite percentages (in the ellipse). Many of the low chlorite points are Na-depleted, but still contain Ca. I suspect there is a component of dolomitic carbonate in these rocks that has not been recognised in the spectra. </w:t>
      </w:r>
    </w:p>
    <w:p w14:paraId="3E4FFA34" w14:textId="4037C5CD" w:rsidR="003629A5" w:rsidRDefault="003629A5" w:rsidP="00951FA7">
      <w:r w:rsidRPr="003629A5">
        <w:rPr>
          <w:noProof/>
        </w:rPr>
        <w:drawing>
          <wp:inline distT="0" distB="0" distL="0" distR="0" wp14:anchorId="19506162" wp14:editId="1FA9DE5D">
            <wp:extent cx="4320000" cy="3329741"/>
            <wp:effectExtent l="0" t="0" r="4445"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3329741"/>
                    </a:xfrm>
                    <a:prstGeom prst="rect">
                      <a:avLst/>
                    </a:prstGeom>
                  </pic:spPr>
                </pic:pic>
              </a:graphicData>
            </a:graphic>
          </wp:inline>
        </w:drawing>
      </w:r>
    </w:p>
    <w:p w14:paraId="16EDD46E" w14:textId="08FA55F2" w:rsidR="00F26148" w:rsidRDefault="00F26148" w:rsidP="00951FA7">
      <w:r>
        <w:t xml:space="preserve">Next, make 10 equal ranges of </w:t>
      </w:r>
      <w:proofErr w:type="spellStart"/>
      <w:r>
        <w:t>kaolinite_pct</w:t>
      </w:r>
      <w:proofErr w:type="spellEnd"/>
      <w:r>
        <w:t xml:space="preserve">. This shows that kaolinite occurs in 3 different environments! There is pervasive kaolinite in advanced argillic zones, kaolinite as part of an argillic overprint in potassic zones, and some kaolinite associated with distal K feldspar. This shows the power of merging the </w:t>
      </w:r>
      <w:proofErr w:type="spellStart"/>
      <w:r>
        <w:t>corescan</w:t>
      </w:r>
      <w:proofErr w:type="spellEnd"/>
      <w:r>
        <w:t xml:space="preserve"> with the assays; without the assays the significant of the 3 kaolinite environments is not recognised.</w:t>
      </w:r>
    </w:p>
    <w:p w14:paraId="0C2D95A6" w14:textId="06BFDC37" w:rsidR="00F26148" w:rsidRDefault="00F26148" w:rsidP="00951FA7">
      <w:r w:rsidRPr="00F26148">
        <w:rPr>
          <w:noProof/>
        </w:rPr>
        <w:drawing>
          <wp:inline distT="0" distB="0" distL="0" distR="0" wp14:anchorId="7DC14E23" wp14:editId="21FF13EC">
            <wp:extent cx="4680000" cy="3422114"/>
            <wp:effectExtent l="0" t="0" r="635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422114"/>
                    </a:xfrm>
                    <a:prstGeom prst="rect">
                      <a:avLst/>
                    </a:prstGeom>
                  </pic:spPr>
                </pic:pic>
              </a:graphicData>
            </a:graphic>
          </wp:inline>
        </w:drawing>
      </w:r>
    </w:p>
    <w:p w14:paraId="096FDF68" w14:textId="7890D1FC" w:rsidR="00F26148" w:rsidRDefault="00F26148" w:rsidP="00951FA7">
      <w:r>
        <w:lastRenderedPageBreak/>
        <w:t xml:space="preserve">Next, create 10 equal colour ranges of </w:t>
      </w:r>
      <w:proofErr w:type="spellStart"/>
      <w:r>
        <w:t>pyrophyllite_pct</w:t>
      </w:r>
      <w:proofErr w:type="spellEnd"/>
      <w:r>
        <w:t>.</w:t>
      </w:r>
      <w:r w:rsidR="00C36EB9">
        <w:t xml:space="preserve"> For values above 1% pyrophyllite, this is as expected. Tiny traces of pyrophyllite are reported from the potassic zone. This is highly improbably.</w:t>
      </w:r>
    </w:p>
    <w:p w14:paraId="4E54518D" w14:textId="66D495EC" w:rsidR="00F26148" w:rsidRDefault="00F26148" w:rsidP="00951FA7">
      <w:r w:rsidRPr="00F26148">
        <w:rPr>
          <w:noProof/>
        </w:rPr>
        <w:drawing>
          <wp:inline distT="0" distB="0" distL="0" distR="0" wp14:anchorId="66ECD0C3" wp14:editId="54369BF5">
            <wp:extent cx="4320000" cy="3164618"/>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3164618"/>
                    </a:xfrm>
                    <a:prstGeom prst="rect">
                      <a:avLst/>
                    </a:prstGeom>
                  </pic:spPr>
                </pic:pic>
              </a:graphicData>
            </a:graphic>
          </wp:inline>
        </w:drawing>
      </w:r>
    </w:p>
    <w:p w14:paraId="6717ECB6" w14:textId="6362A48A" w:rsidR="00C36EB9" w:rsidRDefault="00C36EB9" w:rsidP="00C36EB9">
      <w:r>
        <w:t xml:space="preserve">Next, create 10 equal colour ranges of </w:t>
      </w:r>
      <w:proofErr w:type="spellStart"/>
      <w:r>
        <w:t>montmorillonite_pct</w:t>
      </w:r>
      <w:proofErr w:type="spellEnd"/>
      <w:r>
        <w:t xml:space="preserve">. </w:t>
      </w:r>
      <w:r w:rsidR="00656439">
        <w:t xml:space="preserve">The entire trend of data that appears to be partially sericitized is in fact clay altered. Smectite zones always retain some Na, Ca and Mg. These data points are trending towards an illite composition. Most smectites are Ca, Na bearing rather than potassic. Illite and montmorillonite form a complete continuum in their spectral responses. I suspect these are interlayered illite-smectites and there is a high degree of subjectivity in where the boundary between illite and montmorillonite is defined. In chemistry terms, more of these should have been defined as white mica. </w:t>
      </w:r>
    </w:p>
    <w:p w14:paraId="0238F0A8" w14:textId="5D74FD8D" w:rsidR="00C36EB9" w:rsidRDefault="00C36EB9" w:rsidP="00951FA7"/>
    <w:p w14:paraId="6C2FF49D" w14:textId="5A4F3F56" w:rsidR="00C36EB9" w:rsidRDefault="00C36EB9" w:rsidP="00951FA7">
      <w:r w:rsidRPr="00C36EB9">
        <w:rPr>
          <w:noProof/>
        </w:rPr>
        <w:drawing>
          <wp:inline distT="0" distB="0" distL="0" distR="0" wp14:anchorId="28B3930F" wp14:editId="1F5EC278">
            <wp:extent cx="5731510" cy="238315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83155"/>
                    </a:xfrm>
                    <a:prstGeom prst="rect">
                      <a:avLst/>
                    </a:prstGeom>
                  </pic:spPr>
                </pic:pic>
              </a:graphicData>
            </a:graphic>
          </wp:inline>
        </w:drawing>
      </w:r>
    </w:p>
    <w:p w14:paraId="2D3DB417" w14:textId="333294C6" w:rsidR="00656439" w:rsidRDefault="00656439" w:rsidP="00951FA7"/>
    <w:p w14:paraId="36822F2C" w14:textId="453E2499" w:rsidR="00E66E75" w:rsidRDefault="00E66E75">
      <w:r>
        <w:br w:type="page"/>
      </w:r>
    </w:p>
    <w:p w14:paraId="7C0ED5B9" w14:textId="36A768C7" w:rsidR="00656439" w:rsidRDefault="00E66E75" w:rsidP="00951FA7">
      <w:r w:rsidRPr="00E66E75">
        <w:lastRenderedPageBreak/>
        <w:t xml:space="preserve">Next, create 10 equal colour ranges of </w:t>
      </w:r>
      <w:proofErr w:type="spellStart"/>
      <w:r>
        <w:t>white_mica</w:t>
      </w:r>
      <w:r w:rsidRPr="00E66E75">
        <w:t>_pct</w:t>
      </w:r>
      <w:proofErr w:type="spellEnd"/>
      <w:r w:rsidRPr="00E66E75">
        <w:t>.</w:t>
      </w:r>
      <w:r>
        <w:t xml:space="preserve"> This looks very much as expected and would be even better if the spectral definition of white mica versus montmorillonite was adjusted a little more in favour of white mica. </w:t>
      </w:r>
    </w:p>
    <w:p w14:paraId="4A2A2121" w14:textId="50678771" w:rsidR="00E66E75" w:rsidRDefault="00E66E75" w:rsidP="00951FA7">
      <w:r w:rsidRPr="00E66E75">
        <w:rPr>
          <w:noProof/>
        </w:rPr>
        <w:drawing>
          <wp:inline distT="0" distB="0" distL="0" distR="0" wp14:anchorId="62A41DA4" wp14:editId="0DEDC423">
            <wp:extent cx="5731510" cy="419862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98620"/>
                    </a:xfrm>
                    <a:prstGeom prst="rect">
                      <a:avLst/>
                    </a:prstGeom>
                  </pic:spPr>
                </pic:pic>
              </a:graphicData>
            </a:graphic>
          </wp:inline>
        </w:drawing>
      </w:r>
    </w:p>
    <w:p w14:paraId="2EC3D697" w14:textId="2A0C1ED9" w:rsidR="002C77F0" w:rsidRDefault="002C77F0" w:rsidP="00951FA7"/>
    <w:p w14:paraId="2E0822F4" w14:textId="0931C65B" w:rsidR="002C77F0" w:rsidRDefault="002C77F0">
      <w:r>
        <w:br w:type="page"/>
      </w:r>
    </w:p>
    <w:p w14:paraId="5593511F" w14:textId="279F080A" w:rsidR="002C77F0" w:rsidRPr="002C77F0" w:rsidRDefault="002C77F0" w:rsidP="002C77F0">
      <w:pPr>
        <w:pStyle w:val="Heading1"/>
        <w:rPr>
          <w:color w:val="auto"/>
        </w:rPr>
      </w:pPr>
      <w:r w:rsidRPr="002C77F0">
        <w:rPr>
          <w:color w:val="auto"/>
        </w:rPr>
        <w:lastRenderedPageBreak/>
        <w:t>Create a Simplified Mineralogy Model from Corescan data</w:t>
      </w:r>
    </w:p>
    <w:p w14:paraId="66EE64D5" w14:textId="0B71964F" w:rsidR="002C77F0" w:rsidRDefault="002C77F0" w:rsidP="002C77F0">
      <w:r w:rsidRPr="002C77F0">
        <w:t xml:space="preserve">Every porphyry copper system </w:t>
      </w:r>
      <w:r>
        <w:t>has overprinting alteration assemblages.</w:t>
      </w:r>
      <w:r w:rsidRPr="002C77F0">
        <w:t xml:space="preserve"> Potassic zones in porphyry Cu system always show some degree of overprinting with later fluids until the entire system has cooled to ambient temperatures.</w:t>
      </w:r>
      <w:r>
        <w:t xml:space="preserve"> </w:t>
      </w:r>
      <w:r w:rsidRPr="002C77F0">
        <w:t>Th</w:t>
      </w:r>
      <w:r>
        <w:t xml:space="preserve">e example in the photo below </w:t>
      </w:r>
      <w:r w:rsidRPr="002C77F0">
        <w:t xml:space="preserve">has 3 different alteration assemblages superimposed. </w:t>
      </w:r>
      <w:r>
        <w:t xml:space="preserve">It has potassic alteration in the form of biotite replacing hornblende which probably formed around 400 degrees. It has phyllic alteration in the form of muscovite </w:t>
      </w:r>
      <w:proofErr w:type="spellStart"/>
      <w:r>
        <w:t>selvedges</w:t>
      </w:r>
      <w:proofErr w:type="spellEnd"/>
      <w:r>
        <w:t xml:space="preserve"> to quartz-pyrite veins which probably formed around 300 degrees. It has argillic alteration in the form of montmorillonite replacing relict plagioclase, which probably formed around 200 degrees. In a Corescan analysis, montmorillonite would report as the most abundant mineral, followed by white mica, and then biotite.</w:t>
      </w:r>
    </w:p>
    <w:p w14:paraId="18B3EA97" w14:textId="038C5D9C" w:rsidR="002C77F0" w:rsidRDefault="002C77F0" w:rsidP="002C77F0">
      <w:r w:rsidRPr="002C77F0">
        <w:rPr>
          <w:noProof/>
        </w:rPr>
        <w:drawing>
          <wp:inline distT="0" distB="0" distL="0" distR="0" wp14:anchorId="3AEFCB04" wp14:editId="43D68D6D">
            <wp:extent cx="5731510" cy="339915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399155"/>
                    </a:xfrm>
                    <a:prstGeom prst="rect">
                      <a:avLst/>
                    </a:prstGeom>
                  </pic:spPr>
                </pic:pic>
              </a:graphicData>
            </a:graphic>
          </wp:inline>
        </w:drawing>
      </w:r>
    </w:p>
    <w:p w14:paraId="629F285A" w14:textId="7B9F99BB" w:rsidR="002C77F0" w:rsidRPr="002C77F0" w:rsidRDefault="002C77F0" w:rsidP="002C77F0">
      <w:r w:rsidRPr="002C77F0">
        <w:t xml:space="preserve">In an exploration context, the most important </w:t>
      </w:r>
      <w:r>
        <w:t xml:space="preserve">interpretation of this rock </w:t>
      </w:r>
      <w:r w:rsidRPr="002C77F0">
        <w:t xml:space="preserve">is that this is a really proximal sample; the potassic alteration shows we are in the </w:t>
      </w:r>
      <w:proofErr w:type="spellStart"/>
      <w:r w:rsidRPr="002C77F0">
        <w:t>center</w:t>
      </w:r>
      <w:proofErr w:type="spellEnd"/>
      <w:r w:rsidRPr="002C77F0">
        <w:t xml:space="preserve"> of the system.</w:t>
      </w:r>
    </w:p>
    <w:p w14:paraId="1B04320A" w14:textId="4E9BB548" w:rsidR="002C77F0" w:rsidRDefault="002C77F0" w:rsidP="002C77F0">
      <w:r w:rsidRPr="002C77F0">
        <w:t xml:space="preserve">In a </w:t>
      </w:r>
      <w:proofErr w:type="spellStart"/>
      <w:r w:rsidRPr="002C77F0">
        <w:t>geometallurgical</w:t>
      </w:r>
      <w:proofErr w:type="spellEnd"/>
      <w:r w:rsidRPr="002C77F0">
        <w:t xml:space="preserve"> context, the most important factor is the intensity and mineralogy of the overprinting minerals. The overprinting will modify the physical rock properties (</w:t>
      </w:r>
      <w:proofErr w:type="spellStart"/>
      <w:r w:rsidRPr="002C77F0">
        <w:t>ie</w:t>
      </w:r>
      <w:proofErr w:type="spellEnd"/>
      <w:r w:rsidRPr="002C77F0">
        <w:t>, hardness, grindability), and will affect performance in the flotation circuit. We need to create models that are tailored for specific purposes. The workflow that I am going to present here is designed to create a mineralogical model for an exploration team.</w:t>
      </w:r>
    </w:p>
    <w:p w14:paraId="5F0C83EF" w14:textId="713927EF" w:rsidR="00FE6B62" w:rsidRDefault="00FE6B62" w:rsidP="00FE6B62">
      <w:r>
        <w:t xml:space="preserve">What we should be doing with the Corescan data is to plot the pixel percentage values in 3D for each mineral to get an overview of the spatial distribution, but it is also important to make a coherent mineralogical model. </w:t>
      </w:r>
      <w:r w:rsidRPr="00FE6B62">
        <w:t>For your deposit, decide on a priority sequence of minerals from hottest and most proximal, to coolest and most distal.</w:t>
      </w:r>
      <w:r>
        <w:t xml:space="preserve"> </w:t>
      </w:r>
      <w:r w:rsidRPr="00FE6B62">
        <w:t>Use the percentage of pixels per assay interval containing each mineral as a point count value.</w:t>
      </w:r>
      <w:r>
        <w:t xml:space="preserve"> </w:t>
      </w:r>
      <w:r w:rsidRPr="00FE6B62">
        <w:t>Pick a percentage of pixels for that mineral as a threshold to include those samples in a particular mineral zone.</w:t>
      </w:r>
      <w:r>
        <w:t xml:space="preserve"> The previous section where we coloured the geochem alteration plots by 10 equal ranges of the </w:t>
      </w:r>
      <w:proofErr w:type="spellStart"/>
      <w:r>
        <w:t>mineral_pct</w:t>
      </w:r>
      <w:proofErr w:type="spellEnd"/>
      <w:r>
        <w:t xml:space="preserve"> values can be used to determine the significant threshold values for each mineral.</w:t>
      </w:r>
    </w:p>
    <w:p w14:paraId="3842E8A7" w14:textId="43580A5D" w:rsidR="00FE6B62" w:rsidRPr="00FE6B62" w:rsidRDefault="009E21D9" w:rsidP="00FE6B62">
      <w:r>
        <w:rPr>
          <w:lang w:val="en-US"/>
        </w:rPr>
        <w:t xml:space="preserve">To make an exploration model from this data, I would use a priority list like this: </w:t>
      </w:r>
    </w:p>
    <w:p w14:paraId="79E42456" w14:textId="77777777" w:rsidR="00FE6B62" w:rsidRPr="00FE6B62" w:rsidRDefault="00FE6B62" w:rsidP="009E21D9">
      <w:pPr>
        <w:pStyle w:val="ListParagraph"/>
        <w:numPr>
          <w:ilvl w:val="0"/>
          <w:numId w:val="6"/>
        </w:numPr>
      </w:pPr>
      <w:r w:rsidRPr="009E21D9">
        <w:rPr>
          <w:lang w:val="en-US"/>
        </w:rPr>
        <w:lastRenderedPageBreak/>
        <w:t>Biotite</w:t>
      </w:r>
    </w:p>
    <w:p w14:paraId="4052F01A" w14:textId="77777777" w:rsidR="00FE6B62" w:rsidRPr="00FE6B62" w:rsidRDefault="00FE6B62" w:rsidP="009E21D9">
      <w:pPr>
        <w:pStyle w:val="ListParagraph"/>
        <w:numPr>
          <w:ilvl w:val="0"/>
          <w:numId w:val="6"/>
        </w:numPr>
      </w:pPr>
      <w:r w:rsidRPr="009E21D9">
        <w:rPr>
          <w:lang w:val="en-US"/>
        </w:rPr>
        <w:t>Anhydrite,</w:t>
      </w:r>
    </w:p>
    <w:p w14:paraId="48D1EED6" w14:textId="77777777" w:rsidR="00FE6B62" w:rsidRPr="00FE6B62" w:rsidRDefault="00FE6B62" w:rsidP="009E21D9">
      <w:pPr>
        <w:pStyle w:val="ListParagraph"/>
        <w:numPr>
          <w:ilvl w:val="0"/>
          <w:numId w:val="6"/>
        </w:numPr>
      </w:pPr>
      <w:r w:rsidRPr="009E21D9">
        <w:rPr>
          <w:lang w:val="en-US"/>
        </w:rPr>
        <w:t>Alunite,</w:t>
      </w:r>
    </w:p>
    <w:p w14:paraId="38C455F8" w14:textId="77777777" w:rsidR="00FE6B62" w:rsidRPr="00FE6B62" w:rsidRDefault="00FE6B62" w:rsidP="009E21D9">
      <w:pPr>
        <w:pStyle w:val="ListParagraph"/>
        <w:numPr>
          <w:ilvl w:val="0"/>
          <w:numId w:val="6"/>
        </w:numPr>
      </w:pPr>
      <w:r w:rsidRPr="009E21D9">
        <w:rPr>
          <w:lang w:val="en-US"/>
        </w:rPr>
        <w:t>Pyrophyllite,</w:t>
      </w:r>
    </w:p>
    <w:p w14:paraId="5F22D6D8" w14:textId="77777777" w:rsidR="00FE6B62" w:rsidRPr="00FE6B62" w:rsidRDefault="00FE6B62" w:rsidP="009E21D9">
      <w:pPr>
        <w:pStyle w:val="ListParagraph"/>
        <w:numPr>
          <w:ilvl w:val="0"/>
          <w:numId w:val="6"/>
        </w:numPr>
      </w:pPr>
      <w:r w:rsidRPr="009E21D9">
        <w:rPr>
          <w:lang w:val="en-US"/>
        </w:rPr>
        <w:t>Dickite,</w:t>
      </w:r>
    </w:p>
    <w:p w14:paraId="56990ECF" w14:textId="77777777" w:rsidR="00FE6B62" w:rsidRPr="00FE6B62" w:rsidRDefault="00FE6B62" w:rsidP="009E21D9">
      <w:pPr>
        <w:pStyle w:val="ListParagraph"/>
        <w:numPr>
          <w:ilvl w:val="0"/>
          <w:numId w:val="6"/>
        </w:numPr>
      </w:pPr>
      <w:r w:rsidRPr="009E21D9">
        <w:rPr>
          <w:lang w:val="en-US"/>
        </w:rPr>
        <w:t>Kaolinite,</w:t>
      </w:r>
    </w:p>
    <w:p w14:paraId="48D9FC15" w14:textId="77777777" w:rsidR="00FE6B62" w:rsidRPr="00FE6B62" w:rsidRDefault="00FE6B62" w:rsidP="009E21D9">
      <w:pPr>
        <w:pStyle w:val="ListParagraph"/>
        <w:numPr>
          <w:ilvl w:val="0"/>
          <w:numId w:val="6"/>
        </w:numPr>
      </w:pPr>
      <w:r w:rsidRPr="009E21D9">
        <w:rPr>
          <w:lang w:val="en-US"/>
        </w:rPr>
        <w:t>White Mica,</w:t>
      </w:r>
    </w:p>
    <w:p w14:paraId="6DA88625" w14:textId="77777777" w:rsidR="00FE6B62" w:rsidRPr="00FE6B62" w:rsidRDefault="00FE6B62" w:rsidP="009E21D9">
      <w:pPr>
        <w:pStyle w:val="ListParagraph"/>
        <w:numPr>
          <w:ilvl w:val="0"/>
          <w:numId w:val="6"/>
        </w:numPr>
      </w:pPr>
      <w:r w:rsidRPr="009E21D9">
        <w:rPr>
          <w:lang w:val="en-US"/>
        </w:rPr>
        <w:t>Chlorite,</w:t>
      </w:r>
    </w:p>
    <w:p w14:paraId="38BDDF54" w14:textId="3559D38C" w:rsidR="00FE6B62" w:rsidRPr="009E21D9" w:rsidRDefault="00FE6B62" w:rsidP="009E21D9">
      <w:pPr>
        <w:pStyle w:val="ListParagraph"/>
        <w:numPr>
          <w:ilvl w:val="0"/>
          <w:numId w:val="6"/>
        </w:numPr>
      </w:pPr>
      <w:r w:rsidRPr="009E21D9">
        <w:rPr>
          <w:lang w:val="en-US"/>
        </w:rPr>
        <w:t>Smectite</w:t>
      </w:r>
    </w:p>
    <w:p w14:paraId="521573D5" w14:textId="5BE095A7" w:rsidR="009E21D9" w:rsidRDefault="009E21D9" w:rsidP="009E21D9">
      <w:r>
        <w:t xml:space="preserve">Make a cumulative frequency plot of </w:t>
      </w:r>
      <w:proofErr w:type="spellStart"/>
      <w:r>
        <w:t>dark_mica_pct</w:t>
      </w:r>
      <w:proofErr w:type="spellEnd"/>
      <w:r>
        <w:t xml:space="preserve">. In the Attribute Manager, make a new colour group and call it biotite. Select the data points with </w:t>
      </w:r>
      <w:proofErr w:type="spellStart"/>
      <w:r>
        <w:t>dark_mica_pct</w:t>
      </w:r>
      <w:proofErr w:type="spellEnd"/>
      <w:r>
        <w:t xml:space="preserve"> =&gt; 4% and assign them to the Biotite category. The K/Al versus Na/Al molar ratio plot shows where these points are located.</w:t>
      </w:r>
    </w:p>
    <w:p w14:paraId="71F1A329" w14:textId="51DA1A75" w:rsidR="009E21D9" w:rsidRDefault="009E21D9" w:rsidP="009E21D9">
      <w:r w:rsidRPr="009E21D9">
        <w:rPr>
          <w:noProof/>
        </w:rPr>
        <w:drawing>
          <wp:inline distT="0" distB="0" distL="0" distR="0" wp14:anchorId="7DA9DF9B" wp14:editId="6AA9DB6D">
            <wp:extent cx="5731510" cy="2105025"/>
            <wp:effectExtent l="0" t="0" r="254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05025"/>
                    </a:xfrm>
                    <a:prstGeom prst="rect">
                      <a:avLst/>
                    </a:prstGeom>
                  </pic:spPr>
                </pic:pic>
              </a:graphicData>
            </a:graphic>
          </wp:inline>
        </w:drawing>
      </w:r>
    </w:p>
    <w:p w14:paraId="2414484F" w14:textId="76CA2627" w:rsidR="009E21D9" w:rsidRDefault="009E21D9" w:rsidP="009E21D9">
      <w:r>
        <w:t xml:space="preserve">Once you have selected the Biotite points, turn them off. Make a cumulative frequency plot of </w:t>
      </w:r>
      <w:proofErr w:type="spellStart"/>
      <w:r>
        <w:t>Gypsum_pct</w:t>
      </w:r>
      <w:proofErr w:type="spellEnd"/>
      <w:r>
        <w:t xml:space="preserve">. In the Attribute Manager, make a new colour group and call it Gypsum. Select the data points with </w:t>
      </w:r>
      <w:proofErr w:type="spellStart"/>
      <w:r>
        <w:t>gypsum_pct</w:t>
      </w:r>
      <w:proofErr w:type="spellEnd"/>
      <w:r>
        <w:t xml:space="preserve"> =&gt; 2% and assign them to the Gypsum category. The K/Al versus Na/Al molar ratio plot shows where these points are located.</w:t>
      </w:r>
    </w:p>
    <w:p w14:paraId="6891B30C" w14:textId="78D1C5C2" w:rsidR="009E21D9" w:rsidRDefault="009E21D9" w:rsidP="009E21D9">
      <w:r w:rsidRPr="009E21D9">
        <w:rPr>
          <w:noProof/>
        </w:rPr>
        <w:drawing>
          <wp:inline distT="0" distB="0" distL="0" distR="0" wp14:anchorId="229CA2EF" wp14:editId="45D4D844">
            <wp:extent cx="5731510" cy="2105025"/>
            <wp:effectExtent l="0" t="0" r="254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05025"/>
                    </a:xfrm>
                    <a:prstGeom prst="rect">
                      <a:avLst/>
                    </a:prstGeom>
                  </pic:spPr>
                </pic:pic>
              </a:graphicData>
            </a:graphic>
          </wp:inline>
        </w:drawing>
      </w:r>
    </w:p>
    <w:p w14:paraId="51D23CB0" w14:textId="74C70064" w:rsidR="000B4FC4" w:rsidRDefault="000B4FC4" w:rsidP="000B4FC4">
      <w:r>
        <w:t xml:space="preserve">Once you have selected the Gypsum points, turn them off. Follow the same steps for Alunite. Make a cumulative frequency plot of </w:t>
      </w:r>
      <w:proofErr w:type="spellStart"/>
      <w:r>
        <w:t>alunite_pct</w:t>
      </w:r>
      <w:proofErr w:type="spellEnd"/>
      <w:r>
        <w:t xml:space="preserve">. In the Attribute Manager, make a new colour group and call it Alunite. Select the data points with </w:t>
      </w:r>
      <w:proofErr w:type="spellStart"/>
      <w:r>
        <w:t>alunite_pct</w:t>
      </w:r>
      <w:proofErr w:type="spellEnd"/>
      <w:r>
        <w:t xml:space="preserve"> =&gt; 4% and assign them to the Alunite category. Make a Ca-Fe-S ternary plot to where these points are. </w:t>
      </w:r>
    </w:p>
    <w:p w14:paraId="3ED4F3DD" w14:textId="25C4A518" w:rsidR="000B4FC4" w:rsidRDefault="000B4FC4" w:rsidP="000B4FC4">
      <w:r w:rsidRPr="000B4FC4">
        <w:rPr>
          <w:noProof/>
        </w:rPr>
        <w:lastRenderedPageBreak/>
        <w:drawing>
          <wp:inline distT="0" distB="0" distL="0" distR="0" wp14:anchorId="03FE497D" wp14:editId="5BCD5B08">
            <wp:extent cx="5731510" cy="242316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23160"/>
                    </a:xfrm>
                    <a:prstGeom prst="rect">
                      <a:avLst/>
                    </a:prstGeom>
                  </pic:spPr>
                </pic:pic>
              </a:graphicData>
            </a:graphic>
          </wp:inline>
        </w:drawing>
      </w:r>
    </w:p>
    <w:p w14:paraId="3735DED5" w14:textId="7972DD2B" w:rsidR="009E21D9" w:rsidRDefault="009E21D9" w:rsidP="009E21D9"/>
    <w:p w14:paraId="5FE21C65" w14:textId="76B33E0D" w:rsidR="0020421F" w:rsidRDefault="0020421F" w:rsidP="0020421F">
      <w:r>
        <w:t xml:space="preserve">Once you have selected the alunite points, turn them off. Next select a pyrophyllite group. Follow the same steps for Alunite. Make a cumulative frequency plot of </w:t>
      </w:r>
      <w:proofErr w:type="spellStart"/>
      <w:r>
        <w:t>alunite_pct</w:t>
      </w:r>
      <w:proofErr w:type="spellEnd"/>
      <w:r>
        <w:t xml:space="preserve">. In the Attribute Manager, make a new colour group and call it Alunite. Select the data points with </w:t>
      </w:r>
      <w:proofErr w:type="spellStart"/>
      <w:r>
        <w:t>alunite_pct</w:t>
      </w:r>
      <w:proofErr w:type="spellEnd"/>
      <w:r>
        <w:t xml:space="preserve"> =&gt; 4% and assign them to the Alunite category. Make a Ca-Fe-S ternary plot to where these points are. </w:t>
      </w:r>
    </w:p>
    <w:p w14:paraId="5560672A" w14:textId="7F9FCF1E" w:rsidR="0020421F" w:rsidRDefault="0020421F" w:rsidP="0020421F">
      <w:r w:rsidRPr="0020421F">
        <w:rPr>
          <w:noProof/>
        </w:rPr>
        <w:drawing>
          <wp:inline distT="0" distB="0" distL="0" distR="0" wp14:anchorId="6EC351A6" wp14:editId="19EB5FED">
            <wp:extent cx="5731510" cy="2105025"/>
            <wp:effectExtent l="0" t="0" r="254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05025"/>
                    </a:xfrm>
                    <a:prstGeom prst="rect">
                      <a:avLst/>
                    </a:prstGeom>
                  </pic:spPr>
                </pic:pic>
              </a:graphicData>
            </a:graphic>
          </wp:inline>
        </w:drawing>
      </w:r>
    </w:p>
    <w:p w14:paraId="30D9BB51" w14:textId="51AA6130" w:rsidR="0020421F" w:rsidRDefault="00AE242A" w:rsidP="0020421F">
      <w:r>
        <w:t xml:space="preserve">Repeat this process to select samples with </w:t>
      </w:r>
      <w:proofErr w:type="spellStart"/>
      <w:r>
        <w:t>white_mica</w:t>
      </w:r>
      <w:proofErr w:type="spellEnd"/>
      <w:r>
        <w:t xml:space="preserve"> &gt; 40% from the remaining samples.</w:t>
      </w:r>
    </w:p>
    <w:p w14:paraId="73C0C34D" w14:textId="5B19E5C8" w:rsidR="0020421F" w:rsidRDefault="0020421F" w:rsidP="0020421F">
      <w:r w:rsidRPr="0020421F">
        <w:rPr>
          <w:noProof/>
        </w:rPr>
        <w:drawing>
          <wp:inline distT="0" distB="0" distL="0" distR="0" wp14:anchorId="412E725F" wp14:editId="615F2E8E">
            <wp:extent cx="5731510" cy="2105025"/>
            <wp:effectExtent l="0" t="0" r="254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05025"/>
                    </a:xfrm>
                    <a:prstGeom prst="rect">
                      <a:avLst/>
                    </a:prstGeom>
                  </pic:spPr>
                </pic:pic>
              </a:graphicData>
            </a:graphic>
          </wp:inline>
        </w:drawing>
      </w:r>
    </w:p>
    <w:p w14:paraId="0B912212" w14:textId="11D780EF" w:rsidR="0020421F" w:rsidRDefault="0020421F" w:rsidP="0020421F"/>
    <w:p w14:paraId="137A177C" w14:textId="17C6E56F" w:rsidR="0020421F" w:rsidRDefault="0020421F" w:rsidP="0020421F">
      <w:r w:rsidRPr="0020421F">
        <w:rPr>
          <w:noProof/>
        </w:rPr>
        <w:lastRenderedPageBreak/>
        <w:drawing>
          <wp:inline distT="0" distB="0" distL="0" distR="0" wp14:anchorId="2C300B55" wp14:editId="390F3514">
            <wp:extent cx="5731510" cy="2105025"/>
            <wp:effectExtent l="0" t="0" r="254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05025"/>
                    </a:xfrm>
                    <a:prstGeom prst="rect">
                      <a:avLst/>
                    </a:prstGeom>
                  </pic:spPr>
                </pic:pic>
              </a:graphicData>
            </a:graphic>
          </wp:inline>
        </w:drawing>
      </w:r>
    </w:p>
    <w:p w14:paraId="7A28A873" w14:textId="606040FC" w:rsidR="00AE242A" w:rsidRDefault="00AE242A" w:rsidP="00AE242A">
      <w:r>
        <w:t>Repeat this process to select samples with chlorite &gt; 10% from the remaining samples.</w:t>
      </w:r>
    </w:p>
    <w:p w14:paraId="445C9111" w14:textId="2E4E189D" w:rsidR="0020421F" w:rsidRDefault="0020421F" w:rsidP="0020421F"/>
    <w:p w14:paraId="05131AFA" w14:textId="75A9687C" w:rsidR="0020421F" w:rsidRDefault="0020421F" w:rsidP="0020421F">
      <w:r w:rsidRPr="0020421F">
        <w:rPr>
          <w:noProof/>
        </w:rPr>
        <w:drawing>
          <wp:inline distT="0" distB="0" distL="0" distR="0" wp14:anchorId="63B1234A" wp14:editId="32792100">
            <wp:extent cx="5731510" cy="2105025"/>
            <wp:effectExtent l="0" t="0" r="254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05025"/>
                    </a:xfrm>
                    <a:prstGeom prst="rect">
                      <a:avLst/>
                    </a:prstGeom>
                  </pic:spPr>
                </pic:pic>
              </a:graphicData>
            </a:graphic>
          </wp:inline>
        </w:drawing>
      </w:r>
    </w:p>
    <w:p w14:paraId="7F1A5A19" w14:textId="24777F37" w:rsidR="0020421F" w:rsidRDefault="00AE242A" w:rsidP="0020421F">
      <w:r>
        <w:t>Repeat this process to select samples with kaolinite &gt; 10% from the remaining samples.</w:t>
      </w:r>
    </w:p>
    <w:p w14:paraId="2FE576C2" w14:textId="071A7087" w:rsidR="0020421F" w:rsidRDefault="0020421F" w:rsidP="0020421F">
      <w:r w:rsidRPr="0020421F">
        <w:rPr>
          <w:noProof/>
        </w:rPr>
        <w:drawing>
          <wp:inline distT="0" distB="0" distL="0" distR="0" wp14:anchorId="14A6E3EB" wp14:editId="08E90E19">
            <wp:extent cx="5731510" cy="2105025"/>
            <wp:effectExtent l="0" t="0" r="254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105025"/>
                    </a:xfrm>
                    <a:prstGeom prst="rect">
                      <a:avLst/>
                    </a:prstGeom>
                  </pic:spPr>
                </pic:pic>
              </a:graphicData>
            </a:graphic>
          </wp:inline>
        </w:drawing>
      </w:r>
    </w:p>
    <w:p w14:paraId="2E346334" w14:textId="14B1DEE8" w:rsidR="00AE242A" w:rsidRDefault="00AE242A" w:rsidP="00AE242A">
      <w:r>
        <w:t>Repeat this process to select samples with montmorillonite &gt; 20% from the remaining samples. Put all remaining samples into a group called NULL</w:t>
      </w:r>
    </w:p>
    <w:p w14:paraId="1C5B9202" w14:textId="5C217D66" w:rsidR="0020421F" w:rsidRDefault="0020421F" w:rsidP="0020421F"/>
    <w:p w14:paraId="0BD4908B" w14:textId="15B3BA64" w:rsidR="0020421F" w:rsidRDefault="0020421F" w:rsidP="0020421F">
      <w:r w:rsidRPr="0020421F">
        <w:rPr>
          <w:noProof/>
        </w:rPr>
        <w:lastRenderedPageBreak/>
        <w:drawing>
          <wp:inline distT="0" distB="0" distL="0" distR="0" wp14:anchorId="56B87ECE" wp14:editId="51E9A438">
            <wp:extent cx="4320000" cy="3164618"/>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3164618"/>
                    </a:xfrm>
                    <a:prstGeom prst="rect">
                      <a:avLst/>
                    </a:prstGeom>
                  </pic:spPr>
                </pic:pic>
              </a:graphicData>
            </a:graphic>
          </wp:inline>
        </w:drawing>
      </w:r>
    </w:p>
    <w:p w14:paraId="2B023F2F" w14:textId="15E54E0F" w:rsidR="0020421F" w:rsidRDefault="00AE242A" w:rsidP="0020421F">
      <w:r>
        <w:t>Turn all the data points back on. Examine the K/Al versus Na/Al molar ratio plot. This was a really simple way to deal with a complex data set, but this classification is a realistic overview of the data.</w:t>
      </w:r>
    </w:p>
    <w:p w14:paraId="78CF02FD" w14:textId="6D6EAAF4" w:rsidR="0020421F" w:rsidRDefault="0020421F" w:rsidP="0020421F">
      <w:r w:rsidRPr="0020421F">
        <w:rPr>
          <w:noProof/>
        </w:rPr>
        <w:drawing>
          <wp:inline distT="0" distB="0" distL="0" distR="0" wp14:anchorId="264CBCE7" wp14:editId="270106CD">
            <wp:extent cx="4320000" cy="3463275"/>
            <wp:effectExtent l="0" t="0" r="4445"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3463275"/>
                    </a:xfrm>
                    <a:prstGeom prst="rect">
                      <a:avLst/>
                    </a:prstGeom>
                  </pic:spPr>
                </pic:pic>
              </a:graphicData>
            </a:graphic>
          </wp:inline>
        </w:drawing>
      </w:r>
    </w:p>
    <w:p w14:paraId="49A15398" w14:textId="752A1BC3" w:rsidR="00AE242A" w:rsidRDefault="00AE242A" w:rsidP="0020421F">
      <w:r>
        <w:t>Examine the Ca-Fe-S ternary plot. Notice how the biotite and gypsum groups plot along the anhydrite trend. The NULL points generally have no S and plot midway along the Ca-Fe join. This is where unaltered rocks plot on this diagram</w:t>
      </w:r>
      <w:r w:rsidR="00E02696">
        <w:t>.</w:t>
      </w:r>
    </w:p>
    <w:p w14:paraId="6B675BF5" w14:textId="3C4F8506" w:rsidR="0020421F" w:rsidRDefault="0020421F" w:rsidP="0020421F"/>
    <w:p w14:paraId="51AF0B2C" w14:textId="1C972EAD" w:rsidR="0020421F" w:rsidRDefault="0020421F" w:rsidP="0020421F">
      <w:r w:rsidRPr="0020421F">
        <w:rPr>
          <w:noProof/>
        </w:rPr>
        <w:lastRenderedPageBreak/>
        <w:drawing>
          <wp:inline distT="0" distB="0" distL="0" distR="0" wp14:anchorId="04BD51BE" wp14:editId="3BF40CAD">
            <wp:extent cx="4320000" cy="3450831"/>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3450831"/>
                    </a:xfrm>
                    <a:prstGeom prst="rect">
                      <a:avLst/>
                    </a:prstGeom>
                  </pic:spPr>
                </pic:pic>
              </a:graphicData>
            </a:graphic>
          </wp:inline>
        </w:drawing>
      </w:r>
    </w:p>
    <w:p w14:paraId="6EE676EA" w14:textId="41819476" w:rsidR="00E02696" w:rsidRDefault="00E02696" w:rsidP="0020421F">
      <w:r>
        <w:t xml:space="preserve">Examine the Al-K-Mg ternary plot. This clearly shows the low K and loss of Mg in the advanced argillic zones. Some of the chlorite group plots on the K-rich side of the chlorite-muscovite tie line. This could either be chlorite overprinting biotite in proximal areas, or chlorite with K feldspar in distal zones. </w:t>
      </w:r>
      <w:r w:rsidR="002A5CD5">
        <w:t>Note also where the montmorillonite samples plot. This is a relatively weak argillic overprint, but even when the overprint is intense, smectite alteration never removes all the Mg, Na and Ca.</w:t>
      </w:r>
    </w:p>
    <w:p w14:paraId="41B448AE" w14:textId="7D0A7C2D" w:rsidR="0020421F" w:rsidRDefault="0020421F" w:rsidP="0020421F">
      <w:r w:rsidRPr="0020421F">
        <w:rPr>
          <w:noProof/>
        </w:rPr>
        <w:drawing>
          <wp:inline distT="0" distB="0" distL="0" distR="0" wp14:anchorId="6C18F851" wp14:editId="7A551613">
            <wp:extent cx="5040000" cy="3791447"/>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3791447"/>
                    </a:xfrm>
                    <a:prstGeom prst="rect">
                      <a:avLst/>
                    </a:prstGeom>
                  </pic:spPr>
                </pic:pic>
              </a:graphicData>
            </a:graphic>
          </wp:inline>
        </w:drawing>
      </w:r>
    </w:p>
    <w:p w14:paraId="164ABEF0" w14:textId="76E39604" w:rsidR="0020421F" w:rsidRDefault="002A5CD5" w:rsidP="0020421F">
      <w:r>
        <w:t>This is a cross section view of the simplified Corescan interpretation.</w:t>
      </w:r>
    </w:p>
    <w:p w14:paraId="1044830B" w14:textId="4FB15404" w:rsidR="0020421F" w:rsidRDefault="002A6919" w:rsidP="0020421F">
      <w:r w:rsidRPr="002A6919">
        <w:rPr>
          <w:noProof/>
        </w:rPr>
        <w:lastRenderedPageBreak/>
        <w:drawing>
          <wp:inline distT="0" distB="0" distL="0" distR="0" wp14:anchorId="3381CEC8" wp14:editId="5E8A656F">
            <wp:extent cx="4320000" cy="2725726"/>
            <wp:effectExtent l="0" t="0" r="4445" b="0"/>
            <wp:docPr id="110" name="Picture 1">
              <a:extLst xmlns:a="http://schemas.openxmlformats.org/drawingml/2006/main">
                <a:ext uri="{FF2B5EF4-FFF2-40B4-BE49-F238E27FC236}">
                  <a16:creationId xmlns:a16="http://schemas.microsoft.com/office/drawing/2014/main" id="{4E18A940-175A-4865-A8E6-97BBBA2A8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E18A940-175A-4865-A8E6-97BBBA2A8065}"/>
                        </a:ext>
                      </a:extLst>
                    </pic:cNvPr>
                    <pic:cNvPicPr>
                      <a:picLocks noChangeAspect="1"/>
                    </pic:cNvPicPr>
                  </pic:nvPicPr>
                  <pic:blipFill>
                    <a:blip r:embed="rId32"/>
                    <a:stretch>
                      <a:fillRect/>
                    </a:stretch>
                  </pic:blipFill>
                  <pic:spPr>
                    <a:xfrm>
                      <a:off x="0" y="0"/>
                      <a:ext cx="4320000" cy="2725726"/>
                    </a:xfrm>
                    <a:prstGeom prst="rect">
                      <a:avLst/>
                    </a:prstGeom>
                  </pic:spPr>
                </pic:pic>
              </a:graphicData>
            </a:graphic>
          </wp:inline>
        </w:drawing>
      </w:r>
    </w:p>
    <w:p w14:paraId="3B2A703B" w14:textId="77777777" w:rsidR="002F4FDC" w:rsidRDefault="002F4FDC" w:rsidP="0020421F">
      <w:r>
        <w:t xml:space="preserve">White mica has a diagnostic infrared absorption feature at around 2200nm.The wavelength of this absorption feature is variable, and is strongly correlated with the Tschermak substitution; </w:t>
      </w:r>
    </w:p>
    <w:p w14:paraId="60F10587" w14:textId="5108AE48" w:rsidR="002A6919" w:rsidRDefault="002F4FDC" w:rsidP="0020421F">
      <w:proofErr w:type="spellStart"/>
      <w:r>
        <w:t>Al</w:t>
      </w:r>
      <w:r w:rsidRPr="002F4FDC">
        <w:rPr>
          <w:vertAlign w:val="superscript"/>
        </w:rPr>
        <w:t>oct</w:t>
      </w:r>
      <w:proofErr w:type="spellEnd"/>
      <w:r>
        <w:t xml:space="preserve"> + </w:t>
      </w:r>
      <w:proofErr w:type="spellStart"/>
      <w:r>
        <w:t>Al</w:t>
      </w:r>
      <w:r w:rsidRPr="002F4FDC">
        <w:rPr>
          <w:vertAlign w:val="superscript"/>
        </w:rPr>
        <w:t>tet</w:t>
      </w:r>
      <w:proofErr w:type="spellEnd"/>
      <w:r>
        <w:t xml:space="preserve"> </w:t>
      </w:r>
      <w:r>
        <w:sym w:font="Wingdings" w:char="F0F3"/>
      </w:r>
      <w:r>
        <w:t xml:space="preserve"> (Fe, Mg)</w:t>
      </w:r>
      <w:r w:rsidRPr="002F4FDC">
        <w:rPr>
          <w:vertAlign w:val="superscript"/>
        </w:rPr>
        <w:t>oct</w:t>
      </w:r>
      <w:r>
        <w:t xml:space="preserve"> + </w:t>
      </w:r>
      <w:proofErr w:type="spellStart"/>
      <w:r>
        <w:t>Si</w:t>
      </w:r>
      <w:r w:rsidRPr="002F4FDC">
        <w:rPr>
          <w:vertAlign w:val="superscript"/>
        </w:rPr>
        <w:t>tet</w:t>
      </w:r>
      <w:proofErr w:type="spellEnd"/>
    </w:p>
    <w:p w14:paraId="5512DD67" w14:textId="4DED72C3" w:rsidR="002F4FDC" w:rsidRDefault="002F4FDC" w:rsidP="0020421F">
      <w:r>
        <w:t>One of the outputs from Corescan is to extract the average Al-OH wavelength value for white mica within each assay interval. In this data set, they have also extracted the average Al-OH wavelength value for montmorillonite within each assay interval. Note they are strongly correlated. This highlights a discrepancy between processing of SWIR data from Corescan and The Spectral Geologist (</w:t>
      </w:r>
      <w:proofErr w:type="spellStart"/>
      <w:r>
        <w:t>aiSIRIS</w:t>
      </w:r>
      <w:proofErr w:type="spellEnd"/>
      <w:r>
        <w:t>). TSG suggests the Al-OH wavelength in montmorillonite is fixed; always 2207nm. I wonder if the relationship above is another indication that the Corescan processing has not differentiated  white mi</w:t>
      </w:r>
      <w:r w:rsidR="0047025F">
        <w:t>ca from montmorillonite.</w:t>
      </w:r>
    </w:p>
    <w:p w14:paraId="6DEBA1A9" w14:textId="21D362D6" w:rsidR="002A6919" w:rsidRDefault="002A6919" w:rsidP="0020421F">
      <w:r w:rsidRPr="002A6919">
        <w:rPr>
          <w:noProof/>
        </w:rPr>
        <w:drawing>
          <wp:inline distT="0" distB="0" distL="0" distR="0" wp14:anchorId="4E4D78A5" wp14:editId="1039E786">
            <wp:extent cx="5731510" cy="324231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42310"/>
                    </a:xfrm>
                    <a:prstGeom prst="rect">
                      <a:avLst/>
                    </a:prstGeom>
                  </pic:spPr>
                </pic:pic>
              </a:graphicData>
            </a:graphic>
          </wp:inline>
        </w:drawing>
      </w:r>
    </w:p>
    <w:p w14:paraId="45837C37" w14:textId="69F3D832" w:rsidR="0047025F" w:rsidRDefault="0047025F" w:rsidP="0020421F">
      <w:r>
        <w:t xml:space="preserve">Colour the data points by 10 equal ranges of </w:t>
      </w:r>
      <w:proofErr w:type="spellStart"/>
      <w:r>
        <w:t>white_mica_wavelength</w:t>
      </w:r>
      <w:proofErr w:type="spellEnd"/>
      <w:r>
        <w:t xml:space="preserve">. Note that the mica in or adjacent to the advanced argillic or intense phyllic alteration has wavelengths approaching </w:t>
      </w:r>
      <w:r>
        <w:lastRenderedPageBreak/>
        <w:t xml:space="preserve">stoichiometric muscovite at 2195nm. Mica that is part of the argillic overprint of potassic alteration or distal mica on the periphery of the phyllic alteration is more phengitic with wavelengths typically around 2210nm. </w:t>
      </w:r>
    </w:p>
    <w:p w14:paraId="469BBE58" w14:textId="77777777" w:rsidR="0020421F" w:rsidRPr="002C77F0" w:rsidRDefault="0020421F" w:rsidP="009E21D9"/>
    <w:sectPr w:rsidR="0020421F" w:rsidRPr="002C77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B5BB7"/>
    <w:multiLevelType w:val="hybridMultilevel"/>
    <w:tmpl w:val="6CB4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B86E7A"/>
    <w:multiLevelType w:val="hybridMultilevel"/>
    <w:tmpl w:val="FE862118"/>
    <w:lvl w:ilvl="0" w:tplc="E5B4CF5E">
      <w:start w:val="1"/>
      <w:numFmt w:val="bullet"/>
      <w:lvlText w:val="•"/>
      <w:lvlJc w:val="left"/>
      <w:pPr>
        <w:tabs>
          <w:tab w:val="num" w:pos="720"/>
        </w:tabs>
        <w:ind w:left="720" w:hanging="360"/>
      </w:pPr>
      <w:rPr>
        <w:rFonts w:ascii="Arial" w:hAnsi="Arial" w:hint="default"/>
      </w:rPr>
    </w:lvl>
    <w:lvl w:ilvl="1" w:tplc="EA5A01CA" w:tentative="1">
      <w:start w:val="1"/>
      <w:numFmt w:val="bullet"/>
      <w:lvlText w:val="•"/>
      <w:lvlJc w:val="left"/>
      <w:pPr>
        <w:tabs>
          <w:tab w:val="num" w:pos="1440"/>
        </w:tabs>
        <w:ind w:left="1440" w:hanging="360"/>
      </w:pPr>
      <w:rPr>
        <w:rFonts w:ascii="Arial" w:hAnsi="Arial" w:hint="default"/>
      </w:rPr>
    </w:lvl>
    <w:lvl w:ilvl="2" w:tplc="E8AC9FE8" w:tentative="1">
      <w:start w:val="1"/>
      <w:numFmt w:val="bullet"/>
      <w:lvlText w:val="•"/>
      <w:lvlJc w:val="left"/>
      <w:pPr>
        <w:tabs>
          <w:tab w:val="num" w:pos="2160"/>
        </w:tabs>
        <w:ind w:left="2160" w:hanging="360"/>
      </w:pPr>
      <w:rPr>
        <w:rFonts w:ascii="Arial" w:hAnsi="Arial" w:hint="default"/>
      </w:rPr>
    </w:lvl>
    <w:lvl w:ilvl="3" w:tplc="FA7616D6" w:tentative="1">
      <w:start w:val="1"/>
      <w:numFmt w:val="bullet"/>
      <w:lvlText w:val="•"/>
      <w:lvlJc w:val="left"/>
      <w:pPr>
        <w:tabs>
          <w:tab w:val="num" w:pos="2880"/>
        </w:tabs>
        <w:ind w:left="2880" w:hanging="360"/>
      </w:pPr>
      <w:rPr>
        <w:rFonts w:ascii="Arial" w:hAnsi="Arial" w:hint="default"/>
      </w:rPr>
    </w:lvl>
    <w:lvl w:ilvl="4" w:tplc="75C8D3EC" w:tentative="1">
      <w:start w:val="1"/>
      <w:numFmt w:val="bullet"/>
      <w:lvlText w:val="•"/>
      <w:lvlJc w:val="left"/>
      <w:pPr>
        <w:tabs>
          <w:tab w:val="num" w:pos="3600"/>
        </w:tabs>
        <w:ind w:left="3600" w:hanging="360"/>
      </w:pPr>
      <w:rPr>
        <w:rFonts w:ascii="Arial" w:hAnsi="Arial" w:hint="default"/>
      </w:rPr>
    </w:lvl>
    <w:lvl w:ilvl="5" w:tplc="B4F6DFA8" w:tentative="1">
      <w:start w:val="1"/>
      <w:numFmt w:val="bullet"/>
      <w:lvlText w:val="•"/>
      <w:lvlJc w:val="left"/>
      <w:pPr>
        <w:tabs>
          <w:tab w:val="num" w:pos="4320"/>
        </w:tabs>
        <w:ind w:left="4320" w:hanging="360"/>
      </w:pPr>
      <w:rPr>
        <w:rFonts w:ascii="Arial" w:hAnsi="Arial" w:hint="default"/>
      </w:rPr>
    </w:lvl>
    <w:lvl w:ilvl="6" w:tplc="ED2A1350" w:tentative="1">
      <w:start w:val="1"/>
      <w:numFmt w:val="bullet"/>
      <w:lvlText w:val="•"/>
      <w:lvlJc w:val="left"/>
      <w:pPr>
        <w:tabs>
          <w:tab w:val="num" w:pos="5040"/>
        </w:tabs>
        <w:ind w:left="5040" w:hanging="360"/>
      </w:pPr>
      <w:rPr>
        <w:rFonts w:ascii="Arial" w:hAnsi="Arial" w:hint="default"/>
      </w:rPr>
    </w:lvl>
    <w:lvl w:ilvl="7" w:tplc="56B4B1E6" w:tentative="1">
      <w:start w:val="1"/>
      <w:numFmt w:val="bullet"/>
      <w:lvlText w:val="•"/>
      <w:lvlJc w:val="left"/>
      <w:pPr>
        <w:tabs>
          <w:tab w:val="num" w:pos="5760"/>
        </w:tabs>
        <w:ind w:left="5760" w:hanging="360"/>
      </w:pPr>
      <w:rPr>
        <w:rFonts w:ascii="Arial" w:hAnsi="Arial" w:hint="default"/>
      </w:rPr>
    </w:lvl>
    <w:lvl w:ilvl="8" w:tplc="612A14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3F40C1"/>
    <w:multiLevelType w:val="hybridMultilevel"/>
    <w:tmpl w:val="CCAA187E"/>
    <w:lvl w:ilvl="0" w:tplc="DD1649DE">
      <w:start w:val="1"/>
      <w:numFmt w:val="bullet"/>
      <w:lvlText w:val="•"/>
      <w:lvlJc w:val="left"/>
      <w:pPr>
        <w:tabs>
          <w:tab w:val="num" w:pos="720"/>
        </w:tabs>
        <w:ind w:left="720" w:hanging="360"/>
      </w:pPr>
      <w:rPr>
        <w:rFonts w:ascii="Arial" w:hAnsi="Arial" w:hint="default"/>
      </w:rPr>
    </w:lvl>
    <w:lvl w:ilvl="1" w:tplc="412EF468" w:tentative="1">
      <w:start w:val="1"/>
      <w:numFmt w:val="bullet"/>
      <w:lvlText w:val="•"/>
      <w:lvlJc w:val="left"/>
      <w:pPr>
        <w:tabs>
          <w:tab w:val="num" w:pos="1440"/>
        </w:tabs>
        <w:ind w:left="1440" w:hanging="360"/>
      </w:pPr>
      <w:rPr>
        <w:rFonts w:ascii="Arial" w:hAnsi="Arial" w:hint="default"/>
      </w:rPr>
    </w:lvl>
    <w:lvl w:ilvl="2" w:tplc="E5F0BF22" w:tentative="1">
      <w:start w:val="1"/>
      <w:numFmt w:val="bullet"/>
      <w:lvlText w:val="•"/>
      <w:lvlJc w:val="left"/>
      <w:pPr>
        <w:tabs>
          <w:tab w:val="num" w:pos="2160"/>
        </w:tabs>
        <w:ind w:left="2160" w:hanging="360"/>
      </w:pPr>
      <w:rPr>
        <w:rFonts w:ascii="Arial" w:hAnsi="Arial" w:hint="default"/>
      </w:rPr>
    </w:lvl>
    <w:lvl w:ilvl="3" w:tplc="0B28793A" w:tentative="1">
      <w:start w:val="1"/>
      <w:numFmt w:val="bullet"/>
      <w:lvlText w:val="•"/>
      <w:lvlJc w:val="left"/>
      <w:pPr>
        <w:tabs>
          <w:tab w:val="num" w:pos="2880"/>
        </w:tabs>
        <w:ind w:left="2880" w:hanging="360"/>
      </w:pPr>
      <w:rPr>
        <w:rFonts w:ascii="Arial" w:hAnsi="Arial" w:hint="default"/>
      </w:rPr>
    </w:lvl>
    <w:lvl w:ilvl="4" w:tplc="490830F4" w:tentative="1">
      <w:start w:val="1"/>
      <w:numFmt w:val="bullet"/>
      <w:lvlText w:val="•"/>
      <w:lvlJc w:val="left"/>
      <w:pPr>
        <w:tabs>
          <w:tab w:val="num" w:pos="3600"/>
        </w:tabs>
        <w:ind w:left="3600" w:hanging="360"/>
      </w:pPr>
      <w:rPr>
        <w:rFonts w:ascii="Arial" w:hAnsi="Arial" w:hint="default"/>
      </w:rPr>
    </w:lvl>
    <w:lvl w:ilvl="5" w:tplc="8A36D3EC" w:tentative="1">
      <w:start w:val="1"/>
      <w:numFmt w:val="bullet"/>
      <w:lvlText w:val="•"/>
      <w:lvlJc w:val="left"/>
      <w:pPr>
        <w:tabs>
          <w:tab w:val="num" w:pos="4320"/>
        </w:tabs>
        <w:ind w:left="4320" w:hanging="360"/>
      </w:pPr>
      <w:rPr>
        <w:rFonts w:ascii="Arial" w:hAnsi="Arial" w:hint="default"/>
      </w:rPr>
    </w:lvl>
    <w:lvl w:ilvl="6" w:tplc="B3A202E0" w:tentative="1">
      <w:start w:val="1"/>
      <w:numFmt w:val="bullet"/>
      <w:lvlText w:val="•"/>
      <w:lvlJc w:val="left"/>
      <w:pPr>
        <w:tabs>
          <w:tab w:val="num" w:pos="5040"/>
        </w:tabs>
        <w:ind w:left="5040" w:hanging="360"/>
      </w:pPr>
      <w:rPr>
        <w:rFonts w:ascii="Arial" w:hAnsi="Arial" w:hint="default"/>
      </w:rPr>
    </w:lvl>
    <w:lvl w:ilvl="7" w:tplc="C7E675FC" w:tentative="1">
      <w:start w:val="1"/>
      <w:numFmt w:val="bullet"/>
      <w:lvlText w:val="•"/>
      <w:lvlJc w:val="left"/>
      <w:pPr>
        <w:tabs>
          <w:tab w:val="num" w:pos="5760"/>
        </w:tabs>
        <w:ind w:left="5760" w:hanging="360"/>
      </w:pPr>
      <w:rPr>
        <w:rFonts w:ascii="Arial" w:hAnsi="Arial" w:hint="default"/>
      </w:rPr>
    </w:lvl>
    <w:lvl w:ilvl="8" w:tplc="C15A44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FD3D12"/>
    <w:multiLevelType w:val="hybridMultilevel"/>
    <w:tmpl w:val="1E0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525CFA"/>
    <w:multiLevelType w:val="hybridMultilevel"/>
    <w:tmpl w:val="5718CB90"/>
    <w:lvl w:ilvl="0" w:tplc="DDDCD012">
      <w:start w:val="1"/>
      <w:numFmt w:val="bullet"/>
      <w:lvlText w:val="•"/>
      <w:lvlJc w:val="left"/>
      <w:pPr>
        <w:tabs>
          <w:tab w:val="num" w:pos="720"/>
        </w:tabs>
        <w:ind w:left="720" w:hanging="360"/>
      </w:pPr>
      <w:rPr>
        <w:rFonts w:ascii="Arial" w:hAnsi="Arial" w:hint="default"/>
      </w:rPr>
    </w:lvl>
    <w:lvl w:ilvl="1" w:tplc="B806610E" w:tentative="1">
      <w:start w:val="1"/>
      <w:numFmt w:val="bullet"/>
      <w:lvlText w:val="•"/>
      <w:lvlJc w:val="left"/>
      <w:pPr>
        <w:tabs>
          <w:tab w:val="num" w:pos="1440"/>
        </w:tabs>
        <w:ind w:left="1440" w:hanging="360"/>
      </w:pPr>
      <w:rPr>
        <w:rFonts w:ascii="Arial" w:hAnsi="Arial" w:hint="default"/>
      </w:rPr>
    </w:lvl>
    <w:lvl w:ilvl="2" w:tplc="E5A0BCC0" w:tentative="1">
      <w:start w:val="1"/>
      <w:numFmt w:val="bullet"/>
      <w:lvlText w:val="•"/>
      <w:lvlJc w:val="left"/>
      <w:pPr>
        <w:tabs>
          <w:tab w:val="num" w:pos="2160"/>
        </w:tabs>
        <w:ind w:left="2160" w:hanging="360"/>
      </w:pPr>
      <w:rPr>
        <w:rFonts w:ascii="Arial" w:hAnsi="Arial" w:hint="default"/>
      </w:rPr>
    </w:lvl>
    <w:lvl w:ilvl="3" w:tplc="9CF85BD2" w:tentative="1">
      <w:start w:val="1"/>
      <w:numFmt w:val="bullet"/>
      <w:lvlText w:val="•"/>
      <w:lvlJc w:val="left"/>
      <w:pPr>
        <w:tabs>
          <w:tab w:val="num" w:pos="2880"/>
        </w:tabs>
        <w:ind w:left="2880" w:hanging="360"/>
      </w:pPr>
      <w:rPr>
        <w:rFonts w:ascii="Arial" w:hAnsi="Arial" w:hint="default"/>
      </w:rPr>
    </w:lvl>
    <w:lvl w:ilvl="4" w:tplc="EB9EAA58" w:tentative="1">
      <w:start w:val="1"/>
      <w:numFmt w:val="bullet"/>
      <w:lvlText w:val="•"/>
      <w:lvlJc w:val="left"/>
      <w:pPr>
        <w:tabs>
          <w:tab w:val="num" w:pos="3600"/>
        </w:tabs>
        <w:ind w:left="3600" w:hanging="360"/>
      </w:pPr>
      <w:rPr>
        <w:rFonts w:ascii="Arial" w:hAnsi="Arial" w:hint="default"/>
      </w:rPr>
    </w:lvl>
    <w:lvl w:ilvl="5" w:tplc="6666E5D4" w:tentative="1">
      <w:start w:val="1"/>
      <w:numFmt w:val="bullet"/>
      <w:lvlText w:val="•"/>
      <w:lvlJc w:val="left"/>
      <w:pPr>
        <w:tabs>
          <w:tab w:val="num" w:pos="4320"/>
        </w:tabs>
        <w:ind w:left="4320" w:hanging="360"/>
      </w:pPr>
      <w:rPr>
        <w:rFonts w:ascii="Arial" w:hAnsi="Arial" w:hint="default"/>
      </w:rPr>
    </w:lvl>
    <w:lvl w:ilvl="6" w:tplc="A8F68588" w:tentative="1">
      <w:start w:val="1"/>
      <w:numFmt w:val="bullet"/>
      <w:lvlText w:val="•"/>
      <w:lvlJc w:val="left"/>
      <w:pPr>
        <w:tabs>
          <w:tab w:val="num" w:pos="5040"/>
        </w:tabs>
        <w:ind w:left="5040" w:hanging="360"/>
      </w:pPr>
      <w:rPr>
        <w:rFonts w:ascii="Arial" w:hAnsi="Arial" w:hint="default"/>
      </w:rPr>
    </w:lvl>
    <w:lvl w:ilvl="7" w:tplc="1464B0FA" w:tentative="1">
      <w:start w:val="1"/>
      <w:numFmt w:val="bullet"/>
      <w:lvlText w:val="•"/>
      <w:lvlJc w:val="left"/>
      <w:pPr>
        <w:tabs>
          <w:tab w:val="num" w:pos="5760"/>
        </w:tabs>
        <w:ind w:left="5760" w:hanging="360"/>
      </w:pPr>
      <w:rPr>
        <w:rFonts w:ascii="Arial" w:hAnsi="Arial" w:hint="default"/>
      </w:rPr>
    </w:lvl>
    <w:lvl w:ilvl="8" w:tplc="FD322A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F46F68"/>
    <w:multiLevelType w:val="hybridMultilevel"/>
    <w:tmpl w:val="7FDC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6B"/>
    <w:rsid w:val="00002469"/>
    <w:rsid w:val="0000747A"/>
    <w:rsid w:val="000114A0"/>
    <w:rsid w:val="00025A15"/>
    <w:rsid w:val="000724B3"/>
    <w:rsid w:val="00096DA3"/>
    <w:rsid w:val="000A1B96"/>
    <w:rsid w:val="000B4FC4"/>
    <w:rsid w:val="000B553B"/>
    <w:rsid w:val="000E159C"/>
    <w:rsid w:val="00104D69"/>
    <w:rsid w:val="001108D8"/>
    <w:rsid w:val="0012287E"/>
    <w:rsid w:val="0012652C"/>
    <w:rsid w:val="001D3A4E"/>
    <w:rsid w:val="001E0E3E"/>
    <w:rsid w:val="001F24FB"/>
    <w:rsid w:val="0020421F"/>
    <w:rsid w:val="002655F0"/>
    <w:rsid w:val="00285ADE"/>
    <w:rsid w:val="002A3F60"/>
    <w:rsid w:val="002A5CD5"/>
    <w:rsid w:val="002A6919"/>
    <w:rsid w:val="002A7D65"/>
    <w:rsid w:val="002B397D"/>
    <w:rsid w:val="002C77F0"/>
    <w:rsid w:val="002D79F6"/>
    <w:rsid w:val="002F4FDC"/>
    <w:rsid w:val="002F7447"/>
    <w:rsid w:val="00344C9A"/>
    <w:rsid w:val="00351AC6"/>
    <w:rsid w:val="003629A5"/>
    <w:rsid w:val="003C2AF7"/>
    <w:rsid w:val="003C2ED7"/>
    <w:rsid w:val="003E1B8C"/>
    <w:rsid w:val="003E23CB"/>
    <w:rsid w:val="00411334"/>
    <w:rsid w:val="00413955"/>
    <w:rsid w:val="004140A6"/>
    <w:rsid w:val="00416920"/>
    <w:rsid w:val="00437E8F"/>
    <w:rsid w:val="00440F5A"/>
    <w:rsid w:val="00457C19"/>
    <w:rsid w:val="0047025F"/>
    <w:rsid w:val="004B7691"/>
    <w:rsid w:val="004E4109"/>
    <w:rsid w:val="0053331A"/>
    <w:rsid w:val="005357F4"/>
    <w:rsid w:val="00540A15"/>
    <w:rsid w:val="0055484F"/>
    <w:rsid w:val="005658CD"/>
    <w:rsid w:val="0059000E"/>
    <w:rsid w:val="005905A3"/>
    <w:rsid w:val="005A3E19"/>
    <w:rsid w:val="005B5296"/>
    <w:rsid w:val="005C46C9"/>
    <w:rsid w:val="005E2471"/>
    <w:rsid w:val="005E5E9C"/>
    <w:rsid w:val="00614135"/>
    <w:rsid w:val="006302E6"/>
    <w:rsid w:val="00636CD2"/>
    <w:rsid w:val="00656439"/>
    <w:rsid w:val="0066039C"/>
    <w:rsid w:val="00685103"/>
    <w:rsid w:val="006C5421"/>
    <w:rsid w:val="007117C2"/>
    <w:rsid w:val="00741B6F"/>
    <w:rsid w:val="00747FB7"/>
    <w:rsid w:val="00764E8D"/>
    <w:rsid w:val="007809E4"/>
    <w:rsid w:val="00793A6F"/>
    <w:rsid w:val="007A7E66"/>
    <w:rsid w:val="00812C75"/>
    <w:rsid w:val="008447ED"/>
    <w:rsid w:val="00845E2F"/>
    <w:rsid w:val="0086336B"/>
    <w:rsid w:val="00874416"/>
    <w:rsid w:val="008954EB"/>
    <w:rsid w:val="008C4733"/>
    <w:rsid w:val="008E264E"/>
    <w:rsid w:val="008F7250"/>
    <w:rsid w:val="009124E1"/>
    <w:rsid w:val="00926593"/>
    <w:rsid w:val="00931B7B"/>
    <w:rsid w:val="00937AFF"/>
    <w:rsid w:val="00951FA7"/>
    <w:rsid w:val="009B2B1B"/>
    <w:rsid w:val="009B4CE1"/>
    <w:rsid w:val="009C4AB4"/>
    <w:rsid w:val="009C6F09"/>
    <w:rsid w:val="009D1231"/>
    <w:rsid w:val="009D43B3"/>
    <w:rsid w:val="009E21D9"/>
    <w:rsid w:val="00A038A9"/>
    <w:rsid w:val="00A26E24"/>
    <w:rsid w:val="00A347A2"/>
    <w:rsid w:val="00A702B9"/>
    <w:rsid w:val="00A73BEE"/>
    <w:rsid w:val="00A91895"/>
    <w:rsid w:val="00A946E5"/>
    <w:rsid w:val="00AB69C7"/>
    <w:rsid w:val="00AE242A"/>
    <w:rsid w:val="00AE5ADA"/>
    <w:rsid w:val="00B01DF0"/>
    <w:rsid w:val="00B06850"/>
    <w:rsid w:val="00B22CB8"/>
    <w:rsid w:val="00B45005"/>
    <w:rsid w:val="00B644CA"/>
    <w:rsid w:val="00B82CB7"/>
    <w:rsid w:val="00BC068A"/>
    <w:rsid w:val="00BC36D6"/>
    <w:rsid w:val="00BD525D"/>
    <w:rsid w:val="00BE0AF8"/>
    <w:rsid w:val="00C01DCB"/>
    <w:rsid w:val="00C343A8"/>
    <w:rsid w:val="00C36EB9"/>
    <w:rsid w:val="00C62B35"/>
    <w:rsid w:val="00CF0666"/>
    <w:rsid w:val="00CF2D89"/>
    <w:rsid w:val="00D23EFD"/>
    <w:rsid w:val="00E02696"/>
    <w:rsid w:val="00E11A7F"/>
    <w:rsid w:val="00E46EC6"/>
    <w:rsid w:val="00E478BE"/>
    <w:rsid w:val="00E66E75"/>
    <w:rsid w:val="00E85568"/>
    <w:rsid w:val="00E90B2A"/>
    <w:rsid w:val="00F04C7A"/>
    <w:rsid w:val="00F12C36"/>
    <w:rsid w:val="00F25C08"/>
    <w:rsid w:val="00F26148"/>
    <w:rsid w:val="00F30D3E"/>
    <w:rsid w:val="00F50541"/>
    <w:rsid w:val="00FA2861"/>
    <w:rsid w:val="00FB3434"/>
    <w:rsid w:val="00FC1941"/>
    <w:rsid w:val="00FC1E99"/>
    <w:rsid w:val="00FD15D8"/>
    <w:rsid w:val="00FD6439"/>
    <w:rsid w:val="00FD704E"/>
    <w:rsid w:val="00FE6B62"/>
    <w:rsid w:val="00FF2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B90E"/>
  <w15:chartTrackingRefBased/>
  <w15:docId w15:val="{9E17FD1C-F550-4C5D-819F-E50D1AA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C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0E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C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B22C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0F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7D65"/>
    <w:pPr>
      <w:ind w:left="720"/>
      <w:contextualSpacing/>
    </w:pPr>
  </w:style>
  <w:style w:type="character" w:customStyle="1" w:styleId="Heading3Char">
    <w:name w:val="Heading 3 Char"/>
    <w:basedOn w:val="DefaultParagraphFont"/>
    <w:link w:val="Heading3"/>
    <w:uiPriority w:val="9"/>
    <w:rsid w:val="001E0E3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640311714">
      <w:bodyDiv w:val="1"/>
      <w:marLeft w:val="0"/>
      <w:marRight w:val="0"/>
      <w:marTop w:val="0"/>
      <w:marBottom w:val="0"/>
      <w:divBdr>
        <w:top w:val="none" w:sz="0" w:space="0" w:color="auto"/>
        <w:left w:val="none" w:sz="0" w:space="0" w:color="auto"/>
        <w:bottom w:val="none" w:sz="0" w:space="0" w:color="auto"/>
        <w:right w:val="none" w:sz="0" w:space="0" w:color="auto"/>
      </w:divBdr>
    </w:div>
    <w:div w:id="1032875862">
      <w:bodyDiv w:val="1"/>
      <w:marLeft w:val="0"/>
      <w:marRight w:val="0"/>
      <w:marTop w:val="0"/>
      <w:marBottom w:val="0"/>
      <w:divBdr>
        <w:top w:val="none" w:sz="0" w:space="0" w:color="auto"/>
        <w:left w:val="none" w:sz="0" w:space="0" w:color="auto"/>
        <w:bottom w:val="none" w:sz="0" w:space="0" w:color="auto"/>
        <w:right w:val="none" w:sz="0" w:space="0" w:color="auto"/>
      </w:divBdr>
      <w:divsChild>
        <w:div w:id="1245409850">
          <w:marLeft w:val="446"/>
          <w:marRight w:val="0"/>
          <w:marTop w:val="0"/>
          <w:marBottom w:val="0"/>
          <w:divBdr>
            <w:top w:val="none" w:sz="0" w:space="0" w:color="auto"/>
            <w:left w:val="none" w:sz="0" w:space="0" w:color="auto"/>
            <w:bottom w:val="none" w:sz="0" w:space="0" w:color="auto"/>
            <w:right w:val="none" w:sz="0" w:space="0" w:color="auto"/>
          </w:divBdr>
        </w:div>
        <w:div w:id="1186481578">
          <w:marLeft w:val="446"/>
          <w:marRight w:val="0"/>
          <w:marTop w:val="0"/>
          <w:marBottom w:val="0"/>
          <w:divBdr>
            <w:top w:val="none" w:sz="0" w:space="0" w:color="auto"/>
            <w:left w:val="none" w:sz="0" w:space="0" w:color="auto"/>
            <w:bottom w:val="none" w:sz="0" w:space="0" w:color="auto"/>
            <w:right w:val="none" w:sz="0" w:space="0" w:color="auto"/>
          </w:divBdr>
        </w:div>
        <w:div w:id="138772015">
          <w:marLeft w:val="446"/>
          <w:marRight w:val="0"/>
          <w:marTop w:val="0"/>
          <w:marBottom w:val="0"/>
          <w:divBdr>
            <w:top w:val="none" w:sz="0" w:space="0" w:color="auto"/>
            <w:left w:val="none" w:sz="0" w:space="0" w:color="auto"/>
            <w:bottom w:val="none" w:sz="0" w:space="0" w:color="auto"/>
            <w:right w:val="none" w:sz="0" w:space="0" w:color="auto"/>
          </w:divBdr>
        </w:div>
        <w:div w:id="714621955">
          <w:marLeft w:val="446"/>
          <w:marRight w:val="0"/>
          <w:marTop w:val="0"/>
          <w:marBottom w:val="0"/>
          <w:divBdr>
            <w:top w:val="none" w:sz="0" w:space="0" w:color="auto"/>
            <w:left w:val="none" w:sz="0" w:space="0" w:color="auto"/>
            <w:bottom w:val="none" w:sz="0" w:space="0" w:color="auto"/>
            <w:right w:val="none" w:sz="0" w:space="0" w:color="auto"/>
          </w:divBdr>
        </w:div>
        <w:div w:id="944848799">
          <w:marLeft w:val="446"/>
          <w:marRight w:val="0"/>
          <w:marTop w:val="0"/>
          <w:marBottom w:val="0"/>
          <w:divBdr>
            <w:top w:val="none" w:sz="0" w:space="0" w:color="auto"/>
            <w:left w:val="none" w:sz="0" w:space="0" w:color="auto"/>
            <w:bottom w:val="none" w:sz="0" w:space="0" w:color="auto"/>
            <w:right w:val="none" w:sz="0" w:space="0" w:color="auto"/>
          </w:divBdr>
        </w:div>
        <w:div w:id="1646540956">
          <w:marLeft w:val="446"/>
          <w:marRight w:val="0"/>
          <w:marTop w:val="0"/>
          <w:marBottom w:val="0"/>
          <w:divBdr>
            <w:top w:val="none" w:sz="0" w:space="0" w:color="auto"/>
            <w:left w:val="none" w:sz="0" w:space="0" w:color="auto"/>
            <w:bottom w:val="none" w:sz="0" w:space="0" w:color="auto"/>
            <w:right w:val="none" w:sz="0" w:space="0" w:color="auto"/>
          </w:divBdr>
        </w:div>
        <w:div w:id="2129543169">
          <w:marLeft w:val="446"/>
          <w:marRight w:val="0"/>
          <w:marTop w:val="0"/>
          <w:marBottom w:val="0"/>
          <w:divBdr>
            <w:top w:val="none" w:sz="0" w:space="0" w:color="auto"/>
            <w:left w:val="none" w:sz="0" w:space="0" w:color="auto"/>
            <w:bottom w:val="none" w:sz="0" w:space="0" w:color="auto"/>
            <w:right w:val="none" w:sz="0" w:space="0" w:color="auto"/>
          </w:divBdr>
        </w:div>
        <w:div w:id="652372177">
          <w:marLeft w:val="446"/>
          <w:marRight w:val="0"/>
          <w:marTop w:val="0"/>
          <w:marBottom w:val="0"/>
          <w:divBdr>
            <w:top w:val="none" w:sz="0" w:space="0" w:color="auto"/>
            <w:left w:val="none" w:sz="0" w:space="0" w:color="auto"/>
            <w:bottom w:val="none" w:sz="0" w:space="0" w:color="auto"/>
            <w:right w:val="none" w:sz="0" w:space="0" w:color="auto"/>
          </w:divBdr>
        </w:div>
      </w:divsChild>
    </w:div>
    <w:div w:id="1061097656">
      <w:bodyDiv w:val="1"/>
      <w:marLeft w:val="0"/>
      <w:marRight w:val="0"/>
      <w:marTop w:val="0"/>
      <w:marBottom w:val="0"/>
      <w:divBdr>
        <w:top w:val="none" w:sz="0" w:space="0" w:color="auto"/>
        <w:left w:val="none" w:sz="0" w:space="0" w:color="auto"/>
        <w:bottom w:val="none" w:sz="0" w:space="0" w:color="auto"/>
        <w:right w:val="none" w:sz="0" w:space="0" w:color="auto"/>
      </w:divBdr>
      <w:divsChild>
        <w:div w:id="1022630601">
          <w:marLeft w:val="446"/>
          <w:marRight w:val="0"/>
          <w:marTop w:val="0"/>
          <w:marBottom w:val="0"/>
          <w:divBdr>
            <w:top w:val="none" w:sz="0" w:space="0" w:color="auto"/>
            <w:left w:val="none" w:sz="0" w:space="0" w:color="auto"/>
            <w:bottom w:val="none" w:sz="0" w:space="0" w:color="auto"/>
            <w:right w:val="none" w:sz="0" w:space="0" w:color="auto"/>
          </w:divBdr>
        </w:div>
        <w:div w:id="1836258999">
          <w:marLeft w:val="446"/>
          <w:marRight w:val="0"/>
          <w:marTop w:val="0"/>
          <w:marBottom w:val="0"/>
          <w:divBdr>
            <w:top w:val="none" w:sz="0" w:space="0" w:color="auto"/>
            <w:left w:val="none" w:sz="0" w:space="0" w:color="auto"/>
            <w:bottom w:val="none" w:sz="0" w:space="0" w:color="auto"/>
            <w:right w:val="none" w:sz="0" w:space="0" w:color="auto"/>
          </w:divBdr>
        </w:div>
        <w:div w:id="1606109648">
          <w:marLeft w:val="446"/>
          <w:marRight w:val="0"/>
          <w:marTop w:val="0"/>
          <w:marBottom w:val="0"/>
          <w:divBdr>
            <w:top w:val="none" w:sz="0" w:space="0" w:color="auto"/>
            <w:left w:val="none" w:sz="0" w:space="0" w:color="auto"/>
            <w:bottom w:val="none" w:sz="0" w:space="0" w:color="auto"/>
            <w:right w:val="none" w:sz="0" w:space="0" w:color="auto"/>
          </w:divBdr>
        </w:div>
      </w:divsChild>
    </w:div>
    <w:div w:id="1493329847">
      <w:bodyDiv w:val="1"/>
      <w:marLeft w:val="0"/>
      <w:marRight w:val="0"/>
      <w:marTop w:val="0"/>
      <w:marBottom w:val="0"/>
      <w:divBdr>
        <w:top w:val="none" w:sz="0" w:space="0" w:color="auto"/>
        <w:left w:val="none" w:sz="0" w:space="0" w:color="auto"/>
        <w:bottom w:val="none" w:sz="0" w:space="0" w:color="auto"/>
        <w:right w:val="none" w:sz="0" w:space="0" w:color="auto"/>
      </w:divBdr>
      <w:divsChild>
        <w:div w:id="651131576">
          <w:marLeft w:val="605"/>
          <w:marRight w:val="0"/>
          <w:marTop w:val="0"/>
          <w:marBottom w:val="0"/>
          <w:divBdr>
            <w:top w:val="none" w:sz="0" w:space="0" w:color="auto"/>
            <w:left w:val="none" w:sz="0" w:space="0" w:color="auto"/>
            <w:bottom w:val="none" w:sz="0" w:space="0" w:color="auto"/>
            <w:right w:val="none" w:sz="0" w:space="0" w:color="auto"/>
          </w:divBdr>
        </w:div>
        <w:div w:id="163713785">
          <w:marLeft w:val="605"/>
          <w:marRight w:val="0"/>
          <w:marTop w:val="0"/>
          <w:marBottom w:val="0"/>
          <w:divBdr>
            <w:top w:val="none" w:sz="0" w:space="0" w:color="auto"/>
            <w:left w:val="none" w:sz="0" w:space="0" w:color="auto"/>
            <w:bottom w:val="none" w:sz="0" w:space="0" w:color="auto"/>
            <w:right w:val="none" w:sz="0" w:space="0" w:color="auto"/>
          </w:divBdr>
        </w:div>
        <w:div w:id="1837114169">
          <w:marLeft w:val="605"/>
          <w:marRight w:val="0"/>
          <w:marTop w:val="0"/>
          <w:marBottom w:val="0"/>
          <w:divBdr>
            <w:top w:val="none" w:sz="0" w:space="0" w:color="auto"/>
            <w:left w:val="none" w:sz="0" w:space="0" w:color="auto"/>
            <w:bottom w:val="none" w:sz="0" w:space="0" w:color="auto"/>
            <w:right w:val="none" w:sz="0" w:space="0" w:color="auto"/>
          </w:divBdr>
        </w:div>
        <w:div w:id="578756361">
          <w:marLeft w:val="605"/>
          <w:marRight w:val="0"/>
          <w:marTop w:val="0"/>
          <w:marBottom w:val="0"/>
          <w:divBdr>
            <w:top w:val="none" w:sz="0" w:space="0" w:color="auto"/>
            <w:left w:val="none" w:sz="0" w:space="0" w:color="auto"/>
            <w:bottom w:val="none" w:sz="0" w:space="0" w:color="auto"/>
            <w:right w:val="none" w:sz="0" w:space="0" w:color="auto"/>
          </w:divBdr>
        </w:div>
        <w:div w:id="862329478">
          <w:marLeft w:val="605"/>
          <w:marRight w:val="0"/>
          <w:marTop w:val="0"/>
          <w:marBottom w:val="0"/>
          <w:divBdr>
            <w:top w:val="none" w:sz="0" w:space="0" w:color="auto"/>
            <w:left w:val="none" w:sz="0" w:space="0" w:color="auto"/>
            <w:bottom w:val="none" w:sz="0" w:space="0" w:color="auto"/>
            <w:right w:val="none" w:sz="0" w:space="0" w:color="auto"/>
          </w:divBdr>
        </w:div>
        <w:div w:id="215507767">
          <w:marLeft w:val="605"/>
          <w:marRight w:val="0"/>
          <w:marTop w:val="0"/>
          <w:marBottom w:val="0"/>
          <w:divBdr>
            <w:top w:val="none" w:sz="0" w:space="0" w:color="auto"/>
            <w:left w:val="none" w:sz="0" w:space="0" w:color="auto"/>
            <w:bottom w:val="none" w:sz="0" w:space="0" w:color="auto"/>
            <w:right w:val="none" w:sz="0" w:space="0" w:color="auto"/>
          </w:divBdr>
        </w:div>
      </w:divsChild>
    </w:div>
    <w:div w:id="1607736115">
      <w:bodyDiv w:val="1"/>
      <w:marLeft w:val="0"/>
      <w:marRight w:val="0"/>
      <w:marTop w:val="0"/>
      <w:marBottom w:val="0"/>
      <w:divBdr>
        <w:top w:val="none" w:sz="0" w:space="0" w:color="auto"/>
        <w:left w:val="none" w:sz="0" w:space="0" w:color="auto"/>
        <w:bottom w:val="none" w:sz="0" w:space="0" w:color="auto"/>
        <w:right w:val="none" w:sz="0" w:space="0" w:color="auto"/>
      </w:divBdr>
    </w:div>
    <w:div w:id="2067028479">
      <w:bodyDiv w:val="1"/>
      <w:marLeft w:val="0"/>
      <w:marRight w:val="0"/>
      <w:marTop w:val="0"/>
      <w:marBottom w:val="0"/>
      <w:divBdr>
        <w:top w:val="none" w:sz="0" w:space="0" w:color="auto"/>
        <w:left w:val="none" w:sz="0" w:space="0" w:color="auto"/>
        <w:bottom w:val="none" w:sz="0" w:space="0" w:color="auto"/>
        <w:right w:val="none" w:sz="0" w:space="0" w:color="auto"/>
      </w:divBdr>
    </w:div>
    <w:div w:id="21034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16</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8</cp:revision>
  <dcterms:created xsi:type="dcterms:W3CDTF">2020-08-21T08:44:00Z</dcterms:created>
  <dcterms:modified xsi:type="dcterms:W3CDTF">2021-06-03T01:46:00Z</dcterms:modified>
</cp:coreProperties>
</file>