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EEF0B" w14:textId="295025CB" w:rsidR="00B6110C" w:rsidRDefault="00E7033B" w:rsidP="00E7033B">
      <w:pPr>
        <w:rPr>
          <w:b/>
          <w:bCs/>
          <w:sz w:val="56"/>
          <w:szCs w:val="56"/>
          <w:lang w:val="en-US"/>
        </w:rPr>
      </w:pPr>
      <w:r>
        <w:rPr>
          <w:noProof/>
          <w:lang w:val="en-US"/>
        </w:rPr>
        <w:drawing>
          <wp:anchor distT="0" distB="0" distL="114300" distR="114300" simplePos="0" relativeHeight="251663360" behindDoc="0" locked="0" layoutInCell="1" allowOverlap="1" wp14:anchorId="2D82633E" wp14:editId="2EE2E3B7">
            <wp:simplePos x="0" y="0"/>
            <wp:positionH relativeFrom="column">
              <wp:posOffset>2809582</wp:posOffset>
            </wp:positionH>
            <wp:positionV relativeFrom="paragraph">
              <wp:posOffset>59886</wp:posOffset>
            </wp:positionV>
            <wp:extent cx="2879725" cy="575945"/>
            <wp:effectExtent l="0" t="0" r="0" b="0"/>
            <wp:wrapSquare wrapText="bothSides"/>
            <wp:docPr id="21" name="Picture 2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neral Mapping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9725"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D3729A" wp14:editId="2CA51A6E">
            <wp:extent cx="2160000" cy="758069"/>
            <wp:effectExtent l="0" t="0" r="0" b="4445"/>
            <wp:docPr id="50" name="Picture 50" descr="Los Andes Copper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Andes Copper Lt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0000" cy="758069"/>
                    </a:xfrm>
                    <a:prstGeom prst="rect">
                      <a:avLst/>
                    </a:prstGeom>
                    <a:noFill/>
                    <a:ln>
                      <a:noFill/>
                    </a:ln>
                  </pic:spPr>
                </pic:pic>
              </a:graphicData>
            </a:graphic>
          </wp:inline>
        </w:drawing>
      </w:r>
    </w:p>
    <w:p w14:paraId="78E91D35" w14:textId="270DE36B" w:rsidR="00E7033B" w:rsidRDefault="00E7033B" w:rsidP="00457C19">
      <w:pPr>
        <w:jc w:val="center"/>
        <w:rPr>
          <w:b/>
          <w:bCs/>
          <w:sz w:val="56"/>
          <w:szCs w:val="56"/>
          <w:lang w:val="en-US"/>
        </w:rPr>
      </w:pPr>
    </w:p>
    <w:p w14:paraId="6451B091" w14:textId="1D47174B" w:rsidR="00457C19" w:rsidRDefault="00457C19" w:rsidP="00457C19">
      <w:pPr>
        <w:jc w:val="center"/>
        <w:rPr>
          <w:b/>
          <w:bCs/>
          <w:sz w:val="56"/>
          <w:szCs w:val="56"/>
          <w:lang w:val="en-US"/>
        </w:rPr>
      </w:pPr>
      <w:r w:rsidRPr="00457C19">
        <w:rPr>
          <w:b/>
          <w:bCs/>
          <w:sz w:val="56"/>
          <w:szCs w:val="56"/>
          <w:lang w:val="en-US"/>
        </w:rPr>
        <w:t>Porphyry Cu Geochemistry Workshop</w:t>
      </w:r>
    </w:p>
    <w:p w14:paraId="4B555204" w14:textId="7496D25E" w:rsidR="00122703" w:rsidRPr="00457C19" w:rsidRDefault="00122703" w:rsidP="00457C19">
      <w:pPr>
        <w:jc w:val="center"/>
        <w:rPr>
          <w:b/>
          <w:bCs/>
          <w:sz w:val="56"/>
          <w:szCs w:val="56"/>
          <w:lang w:val="en-US"/>
        </w:rPr>
      </w:pPr>
      <w:r>
        <w:rPr>
          <w:b/>
          <w:bCs/>
          <w:sz w:val="56"/>
          <w:szCs w:val="56"/>
          <w:lang w:val="en-US"/>
        </w:rPr>
        <w:t>Part 1 Magma chemistry</w:t>
      </w:r>
    </w:p>
    <w:p w14:paraId="626A91E6" w14:textId="77777777" w:rsidR="00457C19" w:rsidRDefault="00457C19" w:rsidP="00457C19">
      <w:pPr>
        <w:jc w:val="center"/>
        <w:rPr>
          <w:b/>
          <w:bCs/>
          <w:sz w:val="40"/>
          <w:szCs w:val="40"/>
          <w:lang w:val="en-US"/>
        </w:rPr>
      </w:pPr>
    </w:p>
    <w:p w14:paraId="7F4638B5" w14:textId="77777777" w:rsidR="00457C19" w:rsidRDefault="00457C19" w:rsidP="00457C19">
      <w:pPr>
        <w:jc w:val="center"/>
        <w:rPr>
          <w:b/>
          <w:bCs/>
          <w:sz w:val="40"/>
          <w:szCs w:val="40"/>
          <w:lang w:val="en-US"/>
        </w:rPr>
      </w:pPr>
      <w:r w:rsidRPr="00457C19">
        <w:rPr>
          <w:b/>
          <w:bCs/>
          <w:sz w:val="40"/>
          <w:szCs w:val="40"/>
          <w:lang w:val="en-US"/>
        </w:rPr>
        <w:t>Using 4 acid digest ICP analyses to map rock compositions, magmatic processes, and hydrothermal alteration.</w:t>
      </w:r>
    </w:p>
    <w:p w14:paraId="6C046268" w14:textId="77777777" w:rsidR="00457C19" w:rsidRDefault="00457C19" w:rsidP="00457C19">
      <w:pPr>
        <w:jc w:val="center"/>
        <w:rPr>
          <w:lang w:val="en-US"/>
        </w:rPr>
      </w:pPr>
      <w:r w:rsidRPr="00457C19">
        <w:rPr>
          <w:noProof/>
        </w:rPr>
        <w:drawing>
          <wp:inline distT="0" distB="0" distL="0" distR="0" wp14:anchorId="524127EB" wp14:editId="75FD9A7D">
            <wp:extent cx="4320000" cy="351257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3512573"/>
                    </a:xfrm>
                    <a:prstGeom prst="rect">
                      <a:avLst/>
                    </a:prstGeom>
                  </pic:spPr>
                </pic:pic>
              </a:graphicData>
            </a:graphic>
          </wp:inline>
        </w:drawing>
      </w:r>
    </w:p>
    <w:p w14:paraId="59F6E577" w14:textId="77777777" w:rsidR="00457C19" w:rsidRDefault="00457C19" w:rsidP="00457C19">
      <w:pPr>
        <w:jc w:val="center"/>
        <w:rPr>
          <w:lang w:val="en-US"/>
        </w:rPr>
      </w:pPr>
    </w:p>
    <w:p w14:paraId="1E917DC1" w14:textId="7F5CBDF6" w:rsidR="00457C19" w:rsidRDefault="00457C19" w:rsidP="00457C19">
      <w:pPr>
        <w:rPr>
          <w:lang w:val="en-US"/>
        </w:rPr>
      </w:pPr>
      <w:r>
        <w:rPr>
          <w:lang w:val="en-US"/>
        </w:rPr>
        <w:t xml:space="preserve">Scott Halley, </w:t>
      </w:r>
      <w:r w:rsidR="00362878">
        <w:rPr>
          <w:lang w:val="en-US"/>
        </w:rPr>
        <w:t>29</w:t>
      </w:r>
      <w:r>
        <w:rPr>
          <w:lang w:val="en-US"/>
        </w:rPr>
        <w:t>/0</w:t>
      </w:r>
      <w:r w:rsidR="009B4A54">
        <w:rPr>
          <w:lang w:val="en-US"/>
        </w:rPr>
        <w:t>4</w:t>
      </w:r>
      <w:r>
        <w:rPr>
          <w:lang w:val="en-US"/>
        </w:rPr>
        <w:t>/202</w:t>
      </w:r>
      <w:r w:rsidR="009B4A54">
        <w:rPr>
          <w:lang w:val="en-US"/>
        </w:rPr>
        <w:t>1</w:t>
      </w:r>
    </w:p>
    <w:p w14:paraId="21CAEEC3" w14:textId="01367E7E" w:rsidR="00457C19" w:rsidRDefault="00457C19" w:rsidP="00457C19">
      <w:pPr>
        <w:rPr>
          <w:lang w:val="en-US"/>
        </w:rPr>
      </w:pPr>
    </w:p>
    <w:p w14:paraId="229F5E79" w14:textId="56F8125C" w:rsidR="00457C19" w:rsidRDefault="00457C19" w:rsidP="00457C19">
      <w:pPr>
        <w:rPr>
          <w:lang w:val="en-US"/>
        </w:rPr>
      </w:pPr>
    </w:p>
    <w:p w14:paraId="63CC8C3E" w14:textId="6A6B64F2" w:rsidR="00E7033B" w:rsidRDefault="00B63014" w:rsidP="00E7033B">
      <w:pPr>
        <w:pStyle w:val="Heading1"/>
        <w:rPr>
          <w:color w:val="auto"/>
          <w:lang w:val="en-US"/>
        </w:rPr>
      </w:pPr>
      <w:r w:rsidRPr="00E7033B">
        <w:rPr>
          <w:color w:val="auto"/>
          <w:lang w:val="en-US"/>
        </w:rPr>
        <w:lastRenderedPageBreak/>
        <w:t>Acknowledgments</w:t>
      </w:r>
    </w:p>
    <w:p w14:paraId="32AEA47A" w14:textId="65CE4910" w:rsidR="00386C7B" w:rsidRDefault="00E7033B" w:rsidP="00386C7B">
      <w:pPr>
        <w:rPr>
          <w:lang w:val="en-US"/>
        </w:rPr>
      </w:pPr>
      <w:r>
        <w:rPr>
          <w:lang w:val="en-US"/>
        </w:rPr>
        <w:t xml:space="preserve">The data for this tutorial was provided by Los Andes Copper Ltd. </w:t>
      </w:r>
      <w:r w:rsidR="00B63014">
        <w:rPr>
          <w:lang w:val="en-US"/>
        </w:rPr>
        <w:t>The contribution of Los Andes Copper and especially the</w:t>
      </w:r>
      <w:r w:rsidR="00F23B1D">
        <w:rPr>
          <w:lang w:val="en-US"/>
        </w:rPr>
        <w:t xml:space="preserve"> contribution of Chief Geologist Antony Amberg is </w:t>
      </w:r>
      <w:r w:rsidR="00B63014">
        <w:rPr>
          <w:lang w:val="en-US"/>
        </w:rPr>
        <w:t xml:space="preserve">gratefully </w:t>
      </w:r>
      <w:r w:rsidR="00F23B1D">
        <w:rPr>
          <w:lang w:val="en-US"/>
        </w:rPr>
        <w:t xml:space="preserve">acknowledged. </w:t>
      </w:r>
      <w:r w:rsidR="00B060BA">
        <w:rPr>
          <w:lang w:val="en-US"/>
        </w:rPr>
        <w:t>Access to data like this for training purposes will</w:t>
      </w:r>
      <w:r w:rsidR="00B63014">
        <w:rPr>
          <w:lang w:val="en-US"/>
        </w:rPr>
        <w:t xml:space="preserve"> lead to graduate and early career geologists being better equipped to work in the mining industry. </w:t>
      </w:r>
    </w:p>
    <w:p w14:paraId="7AE6383B" w14:textId="18D20674" w:rsidR="00E7033B" w:rsidRDefault="00E7033B" w:rsidP="00E7033B">
      <w:pPr>
        <w:rPr>
          <w:lang w:val="en-US"/>
        </w:rPr>
      </w:pPr>
      <w:r>
        <w:rPr>
          <w:lang w:val="en-US"/>
        </w:rPr>
        <w:t>This is a subset of the drill hole analyses from Vizcachitas porphyry copper deposit. Vizcachitas has a m</w:t>
      </w:r>
      <w:r w:rsidRPr="00E7033B">
        <w:rPr>
          <w:lang w:val="en-US"/>
        </w:rPr>
        <w:t>easured and Indicated Copper Resource of 1.28 billion tonnes at a copper grade of 0.40% and a copper equivalent grade of 0.45%</w:t>
      </w:r>
      <w:r w:rsidR="007053BE">
        <w:rPr>
          <w:lang w:val="en-US"/>
        </w:rPr>
        <w:t xml:space="preserve">. It is a Miocene porphyry system between Rio Blanco-Los Bronces and Los Pelambres </w:t>
      </w:r>
      <w:r w:rsidR="006C59AA">
        <w:rPr>
          <w:lang w:val="en-US"/>
        </w:rPr>
        <w:t>(figure 1)</w:t>
      </w:r>
      <w:r w:rsidR="00F23B1D">
        <w:rPr>
          <w:lang w:val="en-US"/>
        </w:rPr>
        <w:t>.</w:t>
      </w:r>
    </w:p>
    <w:p w14:paraId="01A62465" w14:textId="77777777" w:rsidR="005264A4" w:rsidRDefault="00E7033B" w:rsidP="005264A4">
      <w:pPr>
        <w:keepNext/>
      </w:pPr>
      <w:r w:rsidRPr="00E7033B">
        <w:rPr>
          <w:noProof/>
          <w:lang w:val="en-US"/>
        </w:rPr>
        <w:drawing>
          <wp:inline distT="0" distB="0" distL="0" distR="0" wp14:anchorId="7480EBB8" wp14:editId="0F66E282">
            <wp:extent cx="3868420" cy="50641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8420" cy="5064125"/>
                    </a:xfrm>
                    <a:prstGeom prst="rect">
                      <a:avLst/>
                    </a:prstGeom>
                    <a:noFill/>
                    <a:ln>
                      <a:noFill/>
                    </a:ln>
                  </pic:spPr>
                </pic:pic>
              </a:graphicData>
            </a:graphic>
          </wp:inline>
        </w:drawing>
      </w:r>
    </w:p>
    <w:p w14:paraId="5DCEFA6D" w14:textId="20E099F6" w:rsidR="005264A4" w:rsidRDefault="005264A4" w:rsidP="005264A4">
      <w:pPr>
        <w:pStyle w:val="Caption"/>
      </w:pPr>
      <w:r>
        <w:t xml:space="preserve">Figure </w:t>
      </w:r>
      <w:r w:rsidR="00260BFD">
        <w:fldChar w:fldCharType="begin"/>
      </w:r>
      <w:r w:rsidR="00260BFD">
        <w:instrText xml:space="preserve"> SEQ Figure \* ARABIC </w:instrText>
      </w:r>
      <w:r w:rsidR="00260BFD">
        <w:fldChar w:fldCharType="separate"/>
      </w:r>
      <w:r w:rsidR="006C59AA">
        <w:rPr>
          <w:noProof/>
        </w:rPr>
        <w:t>1</w:t>
      </w:r>
      <w:r w:rsidR="00260BFD">
        <w:rPr>
          <w:noProof/>
        </w:rPr>
        <w:fldChar w:fldCharType="end"/>
      </w:r>
      <w:r>
        <w:t>. Vizcachitas location map.</w:t>
      </w:r>
    </w:p>
    <w:p w14:paraId="39BB67EF" w14:textId="0A65E245" w:rsidR="00F23B1D" w:rsidRDefault="00E7033B" w:rsidP="00E7033B">
      <w:pPr>
        <w:rPr>
          <w:lang w:val="en-US"/>
        </w:rPr>
      </w:pPr>
      <w:r w:rsidRPr="00E7033B">
        <w:rPr>
          <w:lang w:val="en-US"/>
        </w:rPr>
        <w:t xml:space="preserve"> </w:t>
      </w:r>
    </w:p>
    <w:p w14:paraId="2561E13F" w14:textId="79C3DB84" w:rsidR="00E7033B" w:rsidRPr="00E7033B" w:rsidRDefault="00E7033B" w:rsidP="00E7033B">
      <w:pPr>
        <w:rPr>
          <w:lang w:val="en-US"/>
        </w:rPr>
      </w:pPr>
    </w:p>
    <w:p w14:paraId="0B9907C1" w14:textId="77777777" w:rsidR="005264A4" w:rsidRDefault="005264A4">
      <w:pPr>
        <w:rPr>
          <w:rFonts w:asciiTheme="majorHAnsi" w:eastAsiaTheme="majorEastAsia" w:hAnsiTheme="majorHAnsi" w:cstheme="majorBidi"/>
          <w:sz w:val="32"/>
          <w:szCs w:val="32"/>
          <w:lang w:val="en-US"/>
        </w:rPr>
      </w:pPr>
      <w:r>
        <w:rPr>
          <w:lang w:val="en-US"/>
        </w:rPr>
        <w:br w:type="page"/>
      </w:r>
    </w:p>
    <w:p w14:paraId="27AEAE3E" w14:textId="0F1DF6FD" w:rsidR="00256BB7" w:rsidRDefault="00256BB7" w:rsidP="00B22CB8">
      <w:pPr>
        <w:pStyle w:val="Heading1"/>
        <w:rPr>
          <w:color w:val="auto"/>
          <w:lang w:val="en-US"/>
        </w:rPr>
      </w:pPr>
      <w:r>
        <w:rPr>
          <w:color w:val="auto"/>
          <w:lang w:val="en-US"/>
        </w:rPr>
        <w:lastRenderedPageBreak/>
        <w:t>Introduction</w:t>
      </w:r>
    </w:p>
    <w:p w14:paraId="0FDA9123" w14:textId="623BF4B5" w:rsidR="003C202B" w:rsidRDefault="003C202B" w:rsidP="00B63014">
      <w:pPr>
        <w:rPr>
          <w:lang w:val="en-US"/>
        </w:rPr>
      </w:pPr>
      <w:r>
        <w:rPr>
          <w:lang w:val="en-US"/>
        </w:rPr>
        <w:t xml:space="preserve">The Vizcachitas porphyry copper deposit is related to Miocene diorites that have intruded a flat-lying sequence of basaltic andesite to dacitic volcaniclastics. The volcaniclastics include some coarse fragmental rocks that are difficult to correlate from hole to hole. However, the different eruptive units are quite distinctive in their trace element signatures, and this allows correlations to be made with reasonable confidence. In this part of Chile, some of the country rock units are mid crustal melts with quite distinct low pressure fractionation signatures. This contrasts strongly with a hornblende-titanite fractionation signature in the porphyry-related magmas. </w:t>
      </w:r>
      <w:r w:rsidR="0075757C">
        <w:rPr>
          <w:lang w:val="en-US"/>
        </w:rPr>
        <w:t>In this workshop, you will see how the immobile trace elements can be used to aid logging and recognize correlations from hole to hole. Also, the contrast between the fractionated country rock unit and the suite of porphyry Cu diorites serves to highlight the distinctive signatures of porphyry-related magmas that are seen throughout this class of mineral deposits.</w:t>
      </w:r>
    </w:p>
    <w:p w14:paraId="266FDF1C" w14:textId="74D7BC00" w:rsidR="00B63014" w:rsidRDefault="00B63014" w:rsidP="00B63014">
      <w:pPr>
        <w:rPr>
          <w:lang w:val="en-US"/>
        </w:rPr>
      </w:pPr>
      <w:r>
        <w:rPr>
          <w:lang w:val="en-US"/>
        </w:rPr>
        <w:t xml:space="preserve">The geochemical analyses provided in this workshop are drill core samples </w:t>
      </w:r>
      <w:r w:rsidR="0075757C">
        <w:rPr>
          <w:lang w:val="en-US"/>
        </w:rPr>
        <w:t>which</w:t>
      </w:r>
      <w:r>
        <w:rPr>
          <w:lang w:val="en-US"/>
        </w:rPr>
        <w:t xml:space="preserve"> were analysed using a </w:t>
      </w:r>
      <w:r w:rsidR="006C59AA">
        <w:rPr>
          <w:lang w:val="en-US"/>
        </w:rPr>
        <w:t>4-acid</w:t>
      </w:r>
      <w:r>
        <w:rPr>
          <w:lang w:val="en-US"/>
        </w:rPr>
        <w:t xml:space="preserve"> digest and ICP AES+MS analytical method. Except for zircons, this method achieved close to a total digest. </w:t>
      </w:r>
      <w:r w:rsidR="00B060BA">
        <w:rPr>
          <w:lang w:val="en-US"/>
        </w:rPr>
        <w:t>M</w:t>
      </w:r>
      <w:r>
        <w:rPr>
          <w:lang w:val="en-US"/>
        </w:rPr>
        <w:t>ining and mineral exploration</w:t>
      </w:r>
      <w:r w:rsidR="00B060BA">
        <w:rPr>
          <w:lang w:val="en-US"/>
        </w:rPr>
        <w:t xml:space="preserve"> companies choose</w:t>
      </w:r>
      <w:r>
        <w:rPr>
          <w:lang w:val="en-US"/>
        </w:rPr>
        <w:t xml:space="preserve"> analytical methods that give the best possible analyses for Cu, Mo, S and other pathfinder elements</w:t>
      </w:r>
      <w:r w:rsidR="00B060BA">
        <w:rPr>
          <w:lang w:val="en-US"/>
        </w:rPr>
        <w:t>.</w:t>
      </w:r>
      <w:r>
        <w:rPr>
          <w:lang w:val="en-US"/>
        </w:rPr>
        <w:t xml:space="preserve"> A </w:t>
      </w:r>
      <w:r w:rsidR="006C59AA">
        <w:rPr>
          <w:lang w:val="en-US"/>
        </w:rPr>
        <w:t>4-acid</w:t>
      </w:r>
      <w:r>
        <w:rPr>
          <w:lang w:val="en-US"/>
        </w:rPr>
        <w:t xml:space="preserve"> digest ICP AES with or without ICP MS is very suitable for this purpose. These methods also provide high quality analyses for many other elements. This workshop is designed to show how we can extract useful information from those other elements. </w:t>
      </w:r>
    </w:p>
    <w:p w14:paraId="19E80CA9" w14:textId="0F30F4C9" w:rsidR="00B63014" w:rsidRDefault="00416526" w:rsidP="00B63014">
      <w:pPr>
        <w:rPr>
          <w:lang w:val="en-US"/>
        </w:rPr>
      </w:pPr>
      <w:r>
        <w:rPr>
          <w:lang w:val="en-US"/>
        </w:rPr>
        <w:t xml:space="preserve">The idea of this workshop is that you should be able to follow the provided notes and replicate the interpretation process for yourself using ioGAS software. </w:t>
      </w:r>
      <w:r w:rsidR="00B060BA">
        <w:rPr>
          <w:lang w:val="en-US"/>
        </w:rPr>
        <w:t xml:space="preserve">This workshop relates specifically to porphyry copper chemistry. </w:t>
      </w:r>
      <w:r w:rsidR="00B63014">
        <w:rPr>
          <w:lang w:val="en-US"/>
        </w:rPr>
        <w:t>The objective of this workshop is to demonstrate a workflow that will enable a geologist to use the immobile trace element chemistry to define compositional groups in the data</w:t>
      </w:r>
      <w:r w:rsidR="00B060BA">
        <w:rPr>
          <w:lang w:val="en-US"/>
        </w:rPr>
        <w:t xml:space="preserve">, </w:t>
      </w:r>
      <w:r w:rsidR="006C59AA">
        <w:rPr>
          <w:lang w:val="en-US"/>
        </w:rPr>
        <w:t>and</w:t>
      </w:r>
      <w:r w:rsidR="00B060BA">
        <w:rPr>
          <w:lang w:val="en-US"/>
        </w:rPr>
        <w:t xml:space="preserve"> to identify the magma types that are genetically related to the copper mineralization</w:t>
      </w:r>
      <w:r w:rsidR="000E3284">
        <w:rPr>
          <w:lang w:val="en-US"/>
        </w:rPr>
        <w:t xml:space="preserve">. </w:t>
      </w:r>
      <w:r w:rsidR="00B060BA">
        <w:rPr>
          <w:lang w:val="en-US"/>
        </w:rPr>
        <w:t xml:space="preserve">Interpreting the chemistry in this way </w:t>
      </w:r>
      <w:r w:rsidR="000E3284">
        <w:rPr>
          <w:lang w:val="en-US"/>
        </w:rPr>
        <w:t xml:space="preserve">is an aid to improve the consistency of logging and the creation of a more robust geological model. The introductory notes provide some background information about the distinctive characteristics of porphyry copper magmas and fractionation processes. As you work through the tutorial, you should be able to firstly pick the compositional units in the data, but then recognize and subdivide those units that have the distinctive characteristics of porphyry-related magmas. </w:t>
      </w:r>
    </w:p>
    <w:p w14:paraId="56992E0D" w14:textId="0CF09CF0" w:rsidR="004D763B" w:rsidRDefault="004D763B" w:rsidP="00256BB7">
      <w:pPr>
        <w:rPr>
          <w:lang w:val="en-US"/>
        </w:rPr>
      </w:pPr>
      <w:r>
        <w:rPr>
          <w:lang w:val="en-US"/>
        </w:rPr>
        <w:t xml:space="preserve">Trace elements are usually much more sensitive indicators of fractionation processes than major elements. The high field strength elements are mostly quite immobile during hydrothermal processes, so we can still use patterns in the HFSE’s as indicators of magmatic provenance and evolution in altered rocks. </w:t>
      </w:r>
    </w:p>
    <w:p w14:paraId="0DC627D6" w14:textId="64BCE7E0" w:rsidR="004D763B" w:rsidRDefault="00256BB7" w:rsidP="00256BB7">
      <w:pPr>
        <w:rPr>
          <w:lang w:val="en-US"/>
        </w:rPr>
      </w:pPr>
      <w:r>
        <w:rPr>
          <w:lang w:val="en-US"/>
        </w:rPr>
        <w:t>Think of trace elements as being compatible or incompatible. Compatible elements are readily accommodated into crystallizing mineral phases</w:t>
      </w:r>
      <w:r w:rsidR="004D763B">
        <w:rPr>
          <w:lang w:val="en-US"/>
        </w:rPr>
        <w:t xml:space="preserve">. Ti is a good example of a compatible mineral. It occurs in rutile, ilmenite, magnetite, titanite, amphibole and biotite.  </w:t>
      </w:r>
      <w:r w:rsidR="006C59AA">
        <w:rPr>
          <w:lang w:val="en-US"/>
        </w:rPr>
        <w:t>C</w:t>
      </w:r>
      <w:r w:rsidR="004D763B">
        <w:rPr>
          <w:lang w:val="en-US"/>
        </w:rPr>
        <w:t xml:space="preserve">alc-alkaline magmas always </w:t>
      </w:r>
      <w:r w:rsidR="006C59AA">
        <w:rPr>
          <w:lang w:val="en-US"/>
        </w:rPr>
        <w:t>evolve to lower TiO2</w:t>
      </w:r>
      <w:r w:rsidR="004D763B">
        <w:rPr>
          <w:lang w:val="en-US"/>
        </w:rPr>
        <w:t xml:space="preserve"> with increasing SiO2</w:t>
      </w:r>
      <w:r w:rsidR="006C59AA">
        <w:rPr>
          <w:lang w:val="en-US"/>
        </w:rPr>
        <w:t xml:space="preserve"> (figure 2)</w:t>
      </w:r>
      <w:r w:rsidR="004D763B">
        <w:rPr>
          <w:lang w:val="en-US"/>
        </w:rPr>
        <w:t xml:space="preserve">. </w:t>
      </w:r>
    </w:p>
    <w:p w14:paraId="50E92F7B" w14:textId="77777777" w:rsidR="005264A4" w:rsidRDefault="004D763B" w:rsidP="005264A4">
      <w:pPr>
        <w:keepNext/>
      </w:pPr>
      <w:r>
        <w:rPr>
          <w:noProof/>
        </w:rPr>
        <w:lastRenderedPageBreak/>
        <w:drawing>
          <wp:inline distT="0" distB="0" distL="0" distR="0" wp14:anchorId="5CA70EAA" wp14:editId="032437F2">
            <wp:extent cx="3600000" cy="2244715"/>
            <wp:effectExtent l="0" t="0" r="635" b="3810"/>
            <wp:docPr id="14" name="Picture 3">
              <a:extLst xmlns:a="http://schemas.openxmlformats.org/drawingml/2006/main">
                <a:ext uri="{FF2B5EF4-FFF2-40B4-BE49-F238E27FC236}">
                  <a16:creationId xmlns:a16="http://schemas.microsoft.com/office/drawing/2014/main" id="{B761942C-C20A-440B-A68D-97BD8DD37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761942C-C20A-440B-A68D-97BD8DD37237}"/>
                        </a:ext>
                      </a:extLst>
                    </pic:cNvPr>
                    <pic:cNvPicPr>
                      <a:picLocks noChangeAspect="1"/>
                    </pic:cNvPicPr>
                  </pic:nvPicPr>
                  <pic:blipFill>
                    <a:blip r:embed="rId9"/>
                    <a:stretch>
                      <a:fillRect/>
                    </a:stretch>
                  </pic:blipFill>
                  <pic:spPr>
                    <a:xfrm>
                      <a:off x="0" y="0"/>
                      <a:ext cx="3600000" cy="2244715"/>
                    </a:xfrm>
                    <a:prstGeom prst="rect">
                      <a:avLst/>
                    </a:prstGeom>
                  </pic:spPr>
                </pic:pic>
              </a:graphicData>
            </a:graphic>
          </wp:inline>
        </w:drawing>
      </w:r>
    </w:p>
    <w:p w14:paraId="671DB01A" w14:textId="5D98EF24" w:rsidR="004D763B" w:rsidRDefault="005264A4" w:rsidP="005264A4">
      <w:pPr>
        <w:pStyle w:val="Caption"/>
        <w:rPr>
          <w:lang w:val="en-US"/>
        </w:rPr>
      </w:pPr>
      <w:r>
        <w:t xml:space="preserve">Figure </w:t>
      </w:r>
      <w:r w:rsidR="00260BFD">
        <w:fldChar w:fldCharType="begin"/>
      </w:r>
      <w:r w:rsidR="00260BFD">
        <w:instrText xml:space="preserve"> SEQ Figure \* ARABIC </w:instrText>
      </w:r>
      <w:r w:rsidR="00260BFD">
        <w:fldChar w:fldCharType="separate"/>
      </w:r>
      <w:r w:rsidR="006C59AA">
        <w:rPr>
          <w:noProof/>
        </w:rPr>
        <w:t>2</w:t>
      </w:r>
      <w:r w:rsidR="00260BFD">
        <w:rPr>
          <w:noProof/>
        </w:rPr>
        <w:fldChar w:fldCharType="end"/>
      </w:r>
      <w:r>
        <w:t>. SiO2 vs TiO2</w:t>
      </w:r>
    </w:p>
    <w:p w14:paraId="68FF7360" w14:textId="0ADB24AC" w:rsidR="00256BB7" w:rsidRDefault="00256BB7" w:rsidP="00256BB7">
      <w:pPr>
        <w:rPr>
          <w:lang w:val="en-US"/>
        </w:rPr>
      </w:pPr>
      <w:r>
        <w:rPr>
          <w:lang w:val="en-US"/>
        </w:rPr>
        <w:t xml:space="preserve">Incompatible elements do not easily fit into common mineral lattices, so they increase in abundance as SiO2 increases. An example </w:t>
      </w:r>
      <w:r w:rsidR="004D763B">
        <w:rPr>
          <w:lang w:val="en-US"/>
        </w:rPr>
        <w:t>is</w:t>
      </w:r>
      <w:r>
        <w:rPr>
          <w:lang w:val="en-US"/>
        </w:rPr>
        <w:t xml:space="preserve"> Thorium</w:t>
      </w:r>
      <w:r w:rsidR="006C59AA">
        <w:rPr>
          <w:lang w:val="en-US"/>
        </w:rPr>
        <w:t xml:space="preserve"> (figure 3)</w:t>
      </w:r>
      <w:r>
        <w:rPr>
          <w:lang w:val="en-US"/>
        </w:rPr>
        <w:t>.</w:t>
      </w:r>
    </w:p>
    <w:p w14:paraId="38240091" w14:textId="77777777" w:rsidR="005264A4" w:rsidRDefault="00256BB7" w:rsidP="005264A4">
      <w:pPr>
        <w:keepNext/>
      </w:pPr>
      <w:r w:rsidRPr="00B82CB7">
        <w:rPr>
          <w:noProof/>
        </w:rPr>
        <w:drawing>
          <wp:inline distT="0" distB="0" distL="0" distR="0" wp14:anchorId="26E9271A" wp14:editId="598DE2CA">
            <wp:extent cx="3600000" cy="2244715"/>
            <wp:effectExtent l="0" t="0" r="635" b="3810"/>
            <wp:docPr id="1" name="Picture 1">
              <a:extLst xmlns:a="http://schemas.openxmlformats.org/drawingml/2006/main">
                <a:ext uri="{FF2B5EF4-FFF2-40B4-BE49-F238E27FC236}">
                  <a16:creationId xmlns:a16="http://schemas.microsoft.com/office/drawing/2014/main" id="{906FCBE4-5EC9-4586-B118-C96204259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06FCBE4-5EC9-4586-B118-C96204259769}"/>
                        </a:ext>
                      </a:extLst>
                    </pic:cNvPr>
                    <pic:cNvPicPr>
                      <a:picLocks noChangeAspect="1"/>
                    </pic:cNvPicPr>
                  </pic:nvPicPr>
                  <pic:blipFill>
                    <a:blip r:embed="rId10"/>
                    <a:stretch>
                      <a:fillRect/>
                    </a:stretch>
                  </pic:blipFill>
                  <pic:spPr>
                    <a:xfrm>
                      <a:off x="0" y="0"/>
                      <a:ext cx="3600000" cy="2244715"/>
                    </a:xfrm>
                    <a:prstGeom prst="rect">
                      <a:avLst/>
                    </a:prstGeom>
                  </pic:spPr>
                </pic:pic>
              </a:graphicData>
            </a:graphic>
          </wp:inline>
        </w:drawing>
      </w:r>
    </w:p>
    <w:p w14:paraId="2AFA098F" w14:textId="2E9E9A98" w:rsidR="00256BB7" w:rsidRDefault="005264A4" w:rsidP="005264A4">
      <w:pPr>
        <w:pStyle w:val="Caption"/>
        <w:rPr>
          <w:lang w:val="en-US"/>
        </w:rPr>
      </w:pPr>
      <w:r>
        <w:t xml:space="preserve">Figure </w:t>
      </w:r>
      <w:r w:rsidR="00260BFD">
        <w:fldChar w:fldCharType="begin"/>
      </w:r>
      <w:r w:rsidR="00260BFD">
        <w:instrText xml:space="preserve"> SEQ Figure \* ARABIC </w:instrText>
      </w:r>
      <w:r w:rsidR="00260BFD">
        <w:fldChar w:fldCharType="separate"/>
      </w:r>
      <w:r w:rsidR="006C59AA">
        <w:rPr>
          <w:noProof/>
        </w:rPr>
        <w:t>3</w:t>
      </w:r>
      <w:r w:rsidR="00260BFD">
        <w:rPr>
          <w:noProof/>
        </w:rPr>
        <w:fldChar w:fldCharType="end"/>
      </w:r>
      <w:r>
        <w:t>. SiO2 vs Th</w:t>
      </w:r>
    </w:p>
    <w:p w14:paraId="554D8B10" w14:textId="015E9EE7" w:rsidR="00256BB7" w:rsidRDefault="00256BB7" w:rsidP="00256BB7">
      <w:pPr>
        <w:rPr>
          <w:lang w:val="en-US"/>
        </w:rPr>
      </w:pPr>
      <w:r>
        <w:rPr>
          <w:lang w:val="en-US"/>
        </w:rPr>
        <w:t xml:space="preserve">Some elements change from being incompatible to compatible as a result of </w:t>
      </w:r>
      <w:r w:rsidR="004D763B">
        <w:rPr>
          <w:lang w:val="en-US"/>
        </w:rPr>
        <w:t xml:space="preserve">a </w:t>
      </w:r>
      <w:r>
        <w:rPr>
          <w:lang w:val="en-US"/>
        </w:rPr>
        <w:t>new mineral beginning to crystallize as a magma cools, eg Zr.</w:t>
      </w:r>
      <w:r w:rsidR="0075757C">
        <w:rPr>
          <w:lang w:val="en-US"/>
        </w:rPr>
        <w:t xml:space="preserve"> </w:t>
      </w:r>
      <w:r w:rsidR="006C59AA">
        <w:rPr>
          <w:lang w:val="en-US"/>
        </w:rPr>
        <w:t>Figure 4</w:t>
      </w:r>
      <w:r w:rsidR="0075757C">
        <w:rPr>
          <w:lang w:val="en-US"/>
        </w:rPr>
        <w:t xml:space="preserve"> </w:t>
      </w:r>
      <w:r w:rsidR="009010ED">
        <w:rPr>
          <w:lang w:val="en-US"/>
        </w:rPr>
        <w:t>is typical of fractionating mid-crustal melts, where zircon crystallization and fractionation begins once the magma has cooled to around 750 to 800</w:t>
      </w:r>
      <w:r w:rsidR="009010ED" w:rsidRPr="009010ED">
        <w:rPr>
          <w:vertAlign w:val="superscript"/>
          <w:lang w:val="en-US"/>
        </w:rPr>
        <w:t>o</w:t>
      </w:r>
      <w:r w:rsidR="009010ED">
        <w:rPr>
          <w:lang w:val="en-US"/>
        </w:rPr>
        <w:t>, at about 70% SiO</w:t>
      </w:r>
      <w:r w:rsidR="009010ED" w:rsidRPr="009010ED">
        <w:rPr>
          <w:vertAlign w:val="subscript"/>
          <w:lang w:val="en-US"/>
        </w:rPr>
        <w:t>2</w:t>
      </w:r>
      <w:r w:rsidR="009010ED">
        <w:rPr>
          <w:lang w:val="en-US"/>
        </w:rPr>
        <w:t>.</w:t>
      </w:r>
    </w:p>
    <w:p w14:paraId="65B60DAB" w14:textId="77777777" w:rsidR="005264A4" w:rsidRDefault="00256BB7" w:rsidP="005264A4">
      <w:pPr>
        <w:keepNext/>
      </w:pPr>
      <w:r w:rsidRPr="00B82CB7">
        <w:rPr>
          <w:noProof/>
        </w:rPr>
        <w:lastRenderedPageBreak/>
        <w:drawing>
          <wp:inline distT="0" distB="0" distL="0" distR="0" wp14:anchorId="33425120" wp14:editId="122F0821">
            <wp:extent cx="3600000" cy="2240328"/>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240328"/>
                    </a:xfrm>
                    <a:prstGeom prst="rect">
                      <a:avLst/>
                    </a:prstGeom>
                    <a:noFill/>
                    <a:ln>
                      <a:noFill/>
                    </a:ln>
                  </pic:spPr>
                </pic:pic>
              </a:graphicData>
            </a:graphic>
          </wp:inline>
        </w:drawing>
      </w:r>
    </w:p>
    <w:p w14:paraId="1ADCD608" w14:textId="4E111C88" w:rsidR="00256BB7" w:rsidRDefault="005264A4" w:rsidP="005264A4">
      <w:pPr>
        <w:pStyle w:val="Caption"/>
        <w:rPr>
          <w:lang w:val="en-US"/>
        </w:rPr>
      </w:pPr>
      <w:r>
        <w:t xml:space="preserve">Figure </w:t>
      </w:r>
      <w:r w:rsidR="00260BFD">
        <w:fldChar w:fldCharType="begin"/>
      </w:r>
      <w:r w:rsidR="00260BFD">
        <w:instrText xml:space="preserve"> SEQ Figure \* ARABIC </w:instrText>
      </w:r>
      <w:r w:rsidR="00260BFD">
        <w:fldChar w:fldCharType="separate"/>
      </w:r>
      <w:r w:rsidR="006C59AA">
        <w:rPr>
          <w:noProof/>
        </w:rPr>
        <w:t>4</w:t>
      </w:r>
      <w:r w:rsidR="00260BFD">
        <w:rPr>
          <w:noProof/>
        </w:rPr>
        <w:fldChar w:fldCharType="end"/>
      </w:r>
      <w:r>
        <w:t>. SiO2 vs Zr</w:t>
      </w:r>
    </w:p>
    <w:p w14:paraId="250BB5FE" w14:textId="288AD3C9" w:rsidR="00256BB7" w:rsidRPr="00B82CB7" w:rsidRDefault="00256BB7" w:rsidP="00256BB7">
      <w:r>
        <w:rPr>
          <w:lang w:val="en-US"/>
        </w:rPr>
        <w:t>Magmas that have to potential to form porphyry Cu systems have distinctive characteristics that relate to the pressure, temperature, oxidation state and sequence of minerals that crystallize and fractionate. We can use ratios of trace elements that are accommodated in the same mineral to tell from whole rock assays when particular minerals are fractionating.  For example, c</w:t>
      </w:r>
      <w:r w:rsidRPr="00B82CB7">
        <w:rPr>
          <w:lang w:val="en-US"/>
        </w:rPr>
        <w:t>onsider Sc and V; both are compatible elements</w:t>
      </w:r>
      <w:r w:rsidR="006C59AA">
        <w:rPr>
          <w:lang w:val="en-US"/>
        </w:rPr>
        <w:t xml:space="preserve"> (figure 5)</w:t>
      </w:r>
      <w:r w:rsidRPr="00B82CB7">
        <w:rPr>
          <w:lang w:val="en-US"/>
        </w:rPr>
        <w:t>. Sc substitutes for Fe in silicate minerals (behaves like the silicate-hosted component of Fe). V</w:t>
      </w:r>
      <w:r w:rsidRPr="00B82CB7">
        <w:rPr>
          <w:vertAlign w:val="superscript"/>
          <w:lang w:val="en-US"/>
        </w:rPr>
        <w:t>3+</w:t>
      </w:r>
      <w:r w:rsidRPr="00B82CB7">
        <w:rPr>
          <w:lang w:val="en-US"/>
        </w:rPr>
        <w:t xml:space="preserve"> behaves the same way as Sc. V</w:t>
      </w:r>
      <w:r w:rsidRPr="00B82CB7">
        <w:rPr>
          <w:vertAlign w:val="superscript"/>
          <w:lang w:val="en-US"/>
        </w:rPr>
        <w:t>4+</w:t>
      </w:r>
      <w:r w:rsidRPr="00B82CB7">
        <w:rPr>
          <w:lang w:val="en-US"/>
        </w:rPr>
        <w:t xml:space="preserve"> behaves more like Ti.</w:t>
      </w:r>
      <w:r>
        <w:rPr>
          <w:lang w:val="en-US"/>
        </w:rPr>
        <w:t xml:space="preserve"> V</w:t>
      </w:r>
      <w:r w:rsidRPr="009010ED">
        <w:rPr>
          <w:vertAlign w:val="superscript"/>
          <w:lang w:val="en-US"/>
        </w:rPr>
        <w:t>4+</w:t>
      </w:r>
      <w:r>
        <w:rPr>
          <w:lang w:val="en-US"/>
        </w:rPr>
        <w:t xml:space="preserve"> is </w:t>
      </w:r>
      <w:r w:rsidR="00950997">
        <w:rPr>
          <w:lang w:val="en-US"/>
        </w:rPr>
        <w:t xml:space="preserve">less </w:t>
      </w:r>
      <w:r>
        <w:rPr>
          <w:lang w:val="en-US"/>
        </w:rPr>
        <w:t xml:space="preserve">compatible in Fe silicates, but highly compatible in magnetite. </w:t>
      </w:r>
      <w:r w:rsidR="006C59AA">
        <w:rPr>
          <w:lang w:val="en-US"/>
        </w:rPr>
        <w:t>Therefore,</w:t>
      </w:r>
      <w:r>
        <w:rPr>
          <w:lang w:val="en-US"/>
        </w:rPr>
        <w:t xml:space="preserve"> </w:t>
      </w:r>
      <w:r w:rsidRPr="00B82CB7">
        <w:rPr>
          <w:lang w:val="en-US"/>
        </w:rPr>
        <w:t>Sc and V have the same trajectories in reduced magma, but different trajectories in oxidized melts.</w:t>
      </w:r>
      <w:r>
        <w:rPr>
          <w:lang w:val="en-US"/>
        </w:rPr>
        <w:t xml:space="preserve"> They will differentiate in opposite directions depending on whether a melt is fractionating mostly amphibole or magnetite.</w:t>
      </w:r>
    </w:p>
    <w:p w14:paraId="5AE06A49" w14:textId="77777777" w:rsidR="005264A4" w:rsidRDefault="00256BB7" w:rsidP="005264A4">
      <w:pPr>
        <w:keepNext/>
      </w:pPr>
      <w:r w:rsidRPr="00B82CB7">
        <w:rPr>
          <w:noProof/>
        </w:rPr>
        <w:drawing>
          <wp:inline distT="0" distB="0" distL="0" distR="0" wp14:anchorId="315782C0" wp14:editId="053FD266">
            <wp:extent cx="5731510" cy="1780540"/>
            <wp:effectExtent l="0" t="0" r="2540" b="0"/>
            <wp:docPr id="4" name="Picture 3">
              <a:extLst xmlns:a="http://schemas.openxmlformats.org/drawingml/2006/main">
                <a:ext uri="{FF2B5EF4-FFF2-40B4-BE49-F238E27FC236}">
                  <a16:creationId xmlns:a16="http://schemas.microsoft.com/office/drawing/2014/main" id="{543732C4-E830-4D9C-BE91-A9C089B71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3732C4-E830-4D9C-BE91-A9C089B71175}"/>
                        </a:ext>
                      </a:extLst>
                    </pic:cNvPr>
                    <pic:cNvPicPr>
                      <a:picLocks noChangeAspect="1"/>
                    </pic:cNvPicPr>
                  </pic:nvPicPr>
                  <pic:blipFill>
                    <a:blip r:embed="rId12"/>
                    <a:stretch>
                      <a:fillRect/>
                    </a:stretch>
                  </pic:blipFill>
                  <pic:spPr>
                    <a:xfrm>
                      <a:off x="0" y="0"/>
                      <a:ext cx="5731510" cy="1780540"/>
                    </a:xfrm>
                    <a:prstGeom prst="rect">
                      <a:avLst/>
                    </a:prstGeom>
                  </pic:spPr>
                </pic:pic>
              </a:graphicData>
            </a:graphic>
          </wp:inline>
        </w:drawing>
      </w:r>
    </w:p>
    <w:p w14:paraId="4E162C20" w14:textId="707F85C8" w:rsidR="00256BB7" w:rsidRDefault="005264A4" w:rsidP="005264A4">
      <w:pPr>
        <w:pStyle w:val="Caption"/>
        <w:rPr>
          <w:lang w:val="en-US"/>
        </w:rPr>
      </w:pPr>
      <w:r>
        <w:t xml:space="preserve">Figure </w:t>
      </w:r>
      <w:r w:rsidR="00260BFD">
        <w:fldChar w:fldCharType="begin"/>
      </w:r>
      <w:r w:rsidR="00260BFD">
        <w:instrText xml:space="preserve"> SEQ Figure \* ARABIC </w:instrText>
      </w:r>
      <w:r w:rsidR="00260BFD">
        <w:fldChar w:fldCharType="separate"/>
      </w:r>
      <w:r w:rsidR="006C59AA">
        <w:rPr>
          <w:noProof/>
        </w:rPr>
        <w:t>5</w:t>
      </w:r>
      <w:r w:rsidR="00260BFD">
        <w:rPr>
          <w:noProof/>
        </w:rPr>
        <w:fldChar w:fldCharType="end"/>
      </w:r>
      <w:r>
        <w:t>. SiO2 vs Sc, V</w:t>
      </w:r>
    </w:p>
    <w:p w14:paraId="6E0534AB" w14:textId="29688AC9" w:rsidR="00950997" w:rsidRDefault="006C59AA" w:rsidP="00256BB7">
      <w:pPr>
        <w:rPr>
          <w:lang w:val="en-US"/>
        </w:rPr>
      </w:pPr>
      <w:r>
        <w:rPr>
          <w:lang w:val="en-US"/>
        </w:rPr>
        <w:t>Figure 5</w:t>
      </w:r>
      <w:r w:rsidR="009010ED">
        <w:rPr>
          <w:lang w:val="en-US"/>
        </w:rPr>
        <w:t xml:space="preserve"> </w:t>
      </w:r>
      <w:r w:rsidR="00950997">
        <w:rPr>
          <w:lang w:val="en-US"/>
        </w:rPr>
        <w:t>show</w:t>
      </w:r>
      <w:r>
        <w:rPr>
          <w:lang w:val="en-US"/>
        </w:rPr>
        <w:t>s</w:t>
      </w:r>
      <w:r w:rsidR="00950997">
        <w:rPr>
          <w:lang w:val="en-US"/>
        </w:rPr>
        <w:t xml:space="preserve"> the compatible behaviour of Sc and V; decreasing levels with increasing SiO2. However, if we plot a ratio of V/Sc against SiO2, then this data shows a decreasing ratio with increasing SiO2</w:t>
      </w:r>
      <w:r>
        <w:rPr>
          <w:lang w:val="en-US"/>
        </w:rPr>
        <w:t xml:space="preserve"> (figure 6)</w:t>
      </w:r>
      <w:r w:rsidR="00950997">
        <w:rPr>
          <w:lang w:val="en-US"/>
        </w:rPr>
        <w:t xml:space="preserve">. This is a signature of fractional crystallization of magnetite in a typical mid-crustal (low pressure) environment. </w:t>
      </w:r>
    </w:p>
    <w:p w14:paraId="5F44BA45" w14:textId="77777777" w:rsidR="005264A4" w:rsidRDefault="00950997" w:rsidP="005264A4">
      <w:pPr>
        <w:keepNext/>
      </w:pPr>
      <w:r>
        <w:rPr>
          <w:noProof/>
        </w:rPr>
        <w:lastRenderedPageBreak/>
        <w:drawing>
          <wp:anchor distT="0" distB="0" distL="114300" distR="114300" simplePos="0" relativeHeight="251658240" behindDoc="0" locked="0" layoutInCell="1" allowOverlap="1" wp14:anchorId="1C39B840" wp14:editId="35C3AB40">
            <wp:simplePos x="0" y="0"/>
            <wp:positionH relativeFrom="column">
              <wp:posOffset>3401695</wp:posOffset>
            </wp:positionH>
            <wp:positionV relativeFrom="paragraph">
              <wp:posOffset>2675255</wp:posOffset>
            </wp:positionV>
            <wp:extent cx="2304000" cy="1789138"/>
            <wp:effectExtent l="0" t="0" r="1270" b="1905"/>
            <wp:wrapSquare wrapText="right"/>
            <wp:docPr id="25" name="Picture 8">
              <a:extLst xmlns:a="http://schemas.openxmlformats.org/drawingml/2006/main">
                <a:ext uri="{FF2B5EF4-FFF2-40B4-BE49-F238E27FC236}">
                  <a16:creationId xmlns:a16="http://schemas.microsoft.com/office/drawing/2014/main" id="{F8855BC3-93FD-4BC7-9CB1-AD1099547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8855BC3-93FD-4BC7-9CB1-AD10995476D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000" cy="17891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0E7AE13" wp14:editId="28F36B4D">
            <wp:simplePos x="0" y="0"/>
            <wp:positionH relativeFrom="margin">
              <wp:posOffset>-41275</wp:posOffset>
            </wp:positionH>
            <wp:positionV relativeFrom="paragraph">
              <wp:posOffset>2234565</wp:posOffset>
            </wp:positionV>
            <wp:extent cx="3420000" cy="2865585"/>
            <wp:effectExtent l="0" t="0" r="0" b="0"/>
            <wp:wrapTight wrapText="left">
              <wp:wrapPolygon edited="0">
                <wp:start x="0" y="0"/>
                <wp:lineTo x="0" y="21399"/>
                <wp:lineTo x="21419" y="21399"/>
                <wp:lineTo x="21419" y="0"/>
                <wp:lineTo x="0" y="0"/>
              </wp:wrapPolygon>
            </wp:wrapTight>
            <wp:docPr id="24" name="Picture 9">
              <a:extLst xmlns:a="http://schemas.openxmlformats.org/drawingml/2006/main">
                <a:ext uri="{FF2B5EF4-FFF2-40B4-BE49-F238E27FC236}">
                  <a16:creationId xmlns:a16="http://schemas.microsoft.com/office/drawing/2014/main" id="{2CDCA968-2AF6-4E62-92B6-4FE988CAF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CDCA968-2AF6-4E62-92B6-4FE988CAFBD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000" cy="2865585"/>
                    </a:xfrm>
                    <a:prstGeom prst="rect">
                      <a:avLst/>
                    </a:prstGeom>
                  </pic:spPr>
                </pic:pic>
              </a:graphicData>
            </a:graphic>
            <wp14:sizeRelH relativeFrom="margin">
              <wp14:pctWidth>0</wp14:pctWidth>
            </wp14:sizeRelH>
            <wp14:sizeRelV relativeFrom="margin">
              <wp14:pctHeight>0</wp14:pctHeight>
            </wp14:sizeRelV>
          </wp:anchor>
        </w:drawing>
      </w:r>
      <w:r w:rsidRPr="00950997">
        <w:rPr>
          <w:noProof/>
        </w:rPr>
        <w:drawing>
          <wp:inline distT="0" distB="0" distL="0" distR="0" wp14:anchorId="44E4D3EA" wp14:editId="601C15C6">
            <wp:extent cx="3600000" cy="207959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079593"/>
                    </a:xfrm>
                    <a:prstGeom prst="rect">
                      <a:avLst/>
                    </a:prstGeom>
                  </pic:spPr>
                </pic:pic>
              </a:graphicData>
            </a:graphic>
          </wp:inline>
        </w:drawing>
      </w:r>
    </w:p>
    <w:p w14:paraId="460D6390" w14:textId="5AB910B8" w:rsidR="00950997" w:rsidRDefault="005264A4" w:rsidP="005264A4">
      <w:pPr>
        <w:pStyle w:val="Caption"/>
        <w:rPr>
          <w:lang w:val="en-US"/>
        </w:rPr>
      </w:pPr>
      <w:r>
        <w:t xml:space="preserve">Figure </w:t>
      </w:r>
      <w:r w:rsidR="00260BFD">
        <w:fldChar w:fldCharType="begin"/>
      </w:r>
      <w:r w:rsidR="00260BFD">
        <w:instrText xml:space="preserve"> SEQ Figure \* ARABIC </w:instrText>
      </w:r>
      <w:r w:rsidR="00260BFD">
        <w:fldChar w:fldCharType="separate"/>
      </w:r>
      <w:r w:rsidR="006C59AA">
        <w:rPr>
          <w:noProof/>
        </w:rPr>
        <w:t>6</w:t>
      </w:r>
      <w:r w:rsidR="00260BFD">
        <w:rPr>
          <w:noProof/>
        </w:rPr>
        <w:fldChar w:fldCharType="end"/>
      </w:r>
      <w:r>
        <w:t>. SiO2 versus V/Sc</w:t>
      </w:r>
      <w:r w:rsidR="006C59AA">
        <w:t>. Upper; magnetite fractionation in the Mount Read Volcanics. Lower; hornblende fractionation in porphyry Cu systems, from Loucks, 2014.</w:t>
      </w:r>
    </w:p>
    <w:p w14:paraId="10DEA46C" w14:textId="06997033" w:rsidR="00256BB7" w:rsidRPr="00285ADE" w:rsidRDefault="00256BB7" w:rsidP="00256BB7">
      <w:r>
        <w:t>Loucks (2014) identified increasing V/Sc with increasing SiO2 as a key indicator for prospectivity in porphyry Cu magmas</w:t>
      </w:r>
      <w:r w:rsidR="006C59AA">
        <w:t xml:space="preserve"> (figure 6)</w:t>
      </w:r>
      <w:r>
        <w:t>. This signature is rarely found in any magma types other than porphyry Cu systems.</w:t>
      </w:r>
      <w:r w:rsidR="00950997">
        <w:t xml:space="preserve"> </w:t>
      </w:r>
      <w:r w:rsidR="00323755">
        <w:t>His interpretation of this signature is that there is a window in P-T-a</w:t>
      </w:r>
      <w:r w:rsidR="00323755" w:rsidRPr="00323755">
        <w:rPr>
          <w:vertAlign w:val="subscript"/>
        </w:rPr>
        <w:t>H2O</w:t>
      </w:r>
      <w:r w:rsidR="00323755">
        <w:t xml:space="preserve"> space where hornblende crystallizes before magnetite. In a somewhat oxidized melt</w:t>
      </w:r>
      <w:r w:rsidR="00B55820">
        <w:t>,</w:t>
      </w:r>
      <w:r w:rsidR="00323755">
        <w:t xml:space="preserve"> crystalli</w:t>
      </w:r>
      <w:r w:rsidR="00B55820">
        <w:t>zation of</w:t>
      </w:r>
      <w:r w:rsidR="00323755">
        <w:t xml:space="preserve"> hornblende before magnetite would remove Sc from the melt faster than V, so the ratio should increase with fractionation.</w:t>
      </w:r>
    </w:p>
    <w:p w14:paraId="260B0BC6" w14:textId="15569D2E" w:rsidR="00256BB7" w:rsidRPr="00B22CB8" w:rsidRDefault="00256BB7" w:rsidP="00256BB7">
      <w:r>
        <w:rPr>
          <w:lang w:val="en-US"/>
        </w:rPr>
        <w:t>Another distinctive characteristic of porphyry Cu magmas is high Sr and low Y (Richards, 2012</w:t>
      </w:r>
      <w:r w:rsidR="00010ADE">
        <w:rPr>
          <w:lang w:val="en-US"/>
        </w:rPr>
        <w:t>, Loucks 2014, figure 7</w:t>
      </w:r>
      <w:r>
        <w:rPr>
          <w:lang w:val="en-US"/>
        </w:rPr>
        <w:t>).</w:t>
      </w:r>
      <w:r w:rsidR="00A7483A">
        <w:rPr>
          <w:lang w:val="en-US"/>
        </w:rPr>
        <w:t xml:space="preserve"> High water content promotes melting of plagioclase in the source region, and high water plus high pressure lowers the liquidus for plagioclase. With delayed plagioclase crystallization, Sr is retained in the melt. </w:t>
      </w:r>
      <w:r w:rsidR="00097238">
        <w:rPr>
          <w:lang w:val="en-US"/>
        </w:rPr>
        <w:t>The conventional interpretation of l</w:t>
      </w:r>
      <w:r w:rsidR="00A7483A">
        <w:rPr>
          <w:lang w:val="en-US"/>
        </w:rPr>
        <w:t xml:space="preserve">ow Y </w:t>
      </w:r>
      <w:r w:rsidR="00097238">
        <w:rPr>
          <w:lang w:val="en-US"/>
        </w:rPr>
        <w:t xml:space="preserve">contents in porphyry Cu magmas is that it </w:t>
      </w:r>
      <w:r w:rsidRPr="00B22CB8">
        <w:rPr>
          <w:lang w:val="en-US"/>
        </w:rPr>
        <w:t xml:space="preserve">indicates garnet </w:t>
      </w:r>
      <w:r w:rsidR="009010ED">
        <w:rPr>
          <w:lang w:val="en-US"/>
        </w:rPr>
        <w:t>+/-</w:t>
      </w:r>
      <w:r w:rsidRPr="00B22CB8">
        <w:rPr>
          <w:lang w:val="en-US"/>
        </w:rPr>
        <w:t xml:space="preserve"> hornblende fractionation</w:t>
      </w:r>
      <w:r w:rsidR="00097238">
        <w:rPr>
          <w:lang w:val="en-US"/>
        </w:rPr>
        <w:t xml:space="preserve"> in the source region. G</w:t>
      </w:r>
      <w:r w:rsidRPr="00B22CB8">
        <w:rPr>
          <w:lang w:val="en-US"/>
        </w:rPr>
        <w:t xml:space="preserve">arnet </w:t>
      </w:r>
      <w:r w:rsidR="00097238">
        <w:rPr>
          <w:lang w:val="en-US"/>
        </w:rPr>
        <w:t xml:space="preserve">stability </w:t>
      </w:r>
      <w:r w:rsidRPr="00B22CB8">
        <w:rPr>
          <w:lang w:val="en-US"/>
        </w:rPr>
        <w:t>tells us the crust is thick (&gt;20 km)</w:t>
      </w:r>
      <w:r w:rsidR="00097238">
        <w:rPr>
          <w:lang w:val="en-US"/>
        </w:rPr>
        <w:t xml:space="preserve"> and</w:t>
      </w:r>
      <w:r w:rsidRPr="00B22CB8">
        <w:rPr>
          <w:lang w:val="en-US"/>
        </w:rPr>
        <w:t xml:space="preserve"> hornblende </w:t>
      </w:r>
      <w:r w:rsidR="00097238">
        <w:rPr>
          <w:lang w:val="en-US"/>
        </w:rPr>
        <w:t xml:space="preserve">indicates </w:t>
      </w:r>
      <w:r w:rsidRPr="00B22CB8">
        <w:rPr>
          <w:lang w:val="en-US"/>
        </w:rPr>
        <w:t xml:space="preserve">that the melts are hydrous (&gt;4% water). </w:t>
      </w:r>
    </w:p>
    <w:p w14:paraId="10CF65D4" w14:textId="56F61BFC" w:rsidR="00256BB7" w:rsidRDefault="00256BB7" w:rsidP="00256BB7">
      <w:r w:rsidRPr="00B22CB8">
        <w:t xml:space="preserve">In </w:t>
      </w:r>
      <w:r>
        <w:t xml:space="preserve">the </w:t>
      </w:r>
      <w:r w:rsidRPr="00B22CB8">
        <w:t>melting of amphibolite, the reaction is amphibole + intermed</w:t>
      </w:r>
      <w:r>
        <w:t>iate</w:t>
      </w:r>
      <w:r w:rsidRPr="00B22CB8">
        <w:t xml:space="preserve"> comp</w:t>
      </w:r>
      <w:r>
        <w:t>osition</w:t>
      </w:r>
      <w:r w:rsidRPr="00B22CB8">
        <w:t xml:space="preserve"> plag</w:t>
      </w:r>
      <w:r>
        <w:t>ioclase</w:t>
      </w:r>
      <w:r w:rsidRPr="00B22CB8">
        <w:t xml:space="preserve"> </w:t>
      </w:r>
      <w:r>
        <w:t>=&gt;</w:t>
      </w:r>
      <w:r w:rsidRPr="00B22CB8">
        <w:t xml:space="preserve"> hydrous Na-rich melt (albite preferentially melts) and the residu</w:t>
      </w:r>
      <w:r w:rsidR="00097238">
        <w:t>e</w:t>
      </w:r>
      <w:r w:rsidRPr="00B22CB8">
        <w:t xml:space="preserve"> i</w:t>
      </w:r>
      <w:r>
        <w:t>s</w:t>
      </w:r>
      <w:r w:rsidRPr="00B22CB8">
        <w:t xml:space="preserve"> an anhydrous assemblage of Ca-</w:t>
      </w:r>
      <w:r w:rsidRPr="00B22CB8">
        <w:lastRenderedPageBreak/>
        <w:t>rich plagioclase, pyroxene, ±garnet (</w:t>
      </w:r>
      <w:r w:rsidR="00097238">
        <w:t>pers. Comm. John Dilles</w:t>
      </w:r>
      <w:r w:rsidRPr="00B22CB8">
        <w:t xml:space="preserve">).  The reason Sr is elevated in the melt is that both low-T and Na-rich plag are Sr-rich, whereas high T and Ca-rich plag is Sr-poor. </w:t>
      </w:r>
    </w:p>
    <w:p w14:paraId="64577485" w14:textId="77777777" w:rsidR="00F071E4" w:rsidRDefault="00F071E4" w:rsidP="00256BB7"/>
    <w:p w14:paraId="3E37EFCF" w14:textId="69E4F02D" w:rsidR="00F071E4" w:rsidRDefault="005264A4" w:rsidP="00256BB7">
      <w:r>
        <w:rPr>
          <w:noProof/>
        </w:rPr>
        <mc:AlternateContent>
          <mc:Choice Requires="wps">
            <w:drawing>
              <wp:anchor distT="0" distB="0" distL="114300" distR="114300" simplePos="0" relativeHeight="251665408" behindDoc="1" locked="0" layoutInCell="1" allowOverlap="1" wp14:anchorId="0EDEE6C3" wp14:editId="15184C70">
                <wp:simplePos x="0" y="0"/>
                <wp:positionH relativeFrom="column">
                  <wp:posOffset>0</wp:posOffset>
                </wp:positionH>
                <wp:positionV relativeFrom="paragraph">
                  <wp:posOffset>2745740</wp:posOffset>
                </wp:positionV>
                <wp:extent cx="323977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2B0C066C" w14:textId="7A29EBAD" w:rsidR="005264A4" w:rsidRPr="00783B8B" w:rsidRDefault="005264A4" w:rsidP="005264A4">
                            <w:pPr>
                              <w:pStyle w:val="Caption"/>
                              <w:rPr>
                                <w:noProof/>
                              </w:rPr>
                            </w:pPr>
                            <w:r>
                              <w:t xml:space="preserve">Figure </w:t>
                            </w:r>
                            <w:r w:rsidR="00260BFD">
                              <w:fldChar w:fldCharType="begin"/>
                            </w:r>
                            <w:r w:rsidR="00260BFD">
                              <w:instrText xml:space="preserve"> SEQ Figure \* ARABIC </w:instrText>
                            </w:r>
                            <w:r w:rsidR="00260BFD">
                              <w:fldChar w:fldCharType="separate"/>
                            </w:r>
                            <w:r w:rsidR="006C59AA">
                              <w:rPr>
                                <w:noProof/>
                              </w:rPr>
                              <w:t>7</w:t>
                            </w:r>
                            <w:r w:rsidR="00260BFD">
                              <w:rPr>
                                <w:noProof/>
                              </w:rPr>
                              <w:fldChar w:fldCharType="end"/>
                            </w:r>
                            <w:r>
                              <w:t>. SiO2 vs Sr/Y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DEE6C3" id="_x0000_t202" coordsize="21600,21600" o:spt="202" path="m,l,21600r21600,l21600,xe">
                <v:stroke joinstyle="miter"/>
                <v:path gradientshapeok="t" o:connecttype="rect"/>
              </v:shapetype>
              <v:shape id="Text Box 6" o:spid="_x0000_s1026" type="#_x0000_t202" style="position:absolute;margin-left:0;margin-top:216.2pt;width:255.1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" stroked="f">
                <v:textbox style="mso-fit-shape-to-text:t" inset="0,0,0,0">
                  <w:txbxContent>
                    <w:p w14:paraId="2B0C066C" w14:textId="7A29EBAD" w:rsidR="005264A4" w:rsidRPr="00783B8B" w:rsidRDefault="005264A4" w:rsidP="005264A4">
                      <w:pPr>
                        <w:pStyle w:val="Caption"/>
                        <w:rPr>
                          <w:noProof/>
                        </w:rPr>
                      </w:pPr>
                      <w:r>
                        <w:t xml:space="preserve">Figure </w:t>
                      </w:r>
                      <w:fldSimple w:instr=" SEQ Figure \* ARABIC ">
                        <w:r w:rsidR="006C59AA">
                          <w:rPr>
                            <w:noProof/>
                          </w:rPr>
                          <w:t>7</w:t>
                        </w:r>
                      </w:fldSimple>
                      <w:r>
                        <w:t>. SiO2 vs Sr/Y</w:t>
                      </w:r>
                    </w:p>
                  </w:txbxContent>
                </v:textbox>
                <w10:wrap type="tight"/>
              </v:shape>
            </w:pict>
          </mc:Fallback>
        </mc:AlternateContent>
      </w:r>
      <w:r w:rsidR="00F071E4">
        <w:rPr>
          <w:noProof/>
        </w:rPr>
        <w:drawing>
          <wp:anchor distT="0" distB="0" distL="114300" distR="114300" simplePos="0" relativeHeight="251660288" behindDoc="1" locked="0" layoutInCell="1" allowOverlap="1" wp14:anchorId="72418028" wp14:editId="27DAAAFA">
            <wp:simplePos x="0" y="0"/>
            <wp:positionH relativeFrom="column">
              <wp:posOffset>0</wp:posOffset>
            </wp:positionH>
            <wp:positionV relativeFrom="paragraph">
              <wp:posOffset>0</wp:posOffset>
            </wp:positionV>
            <wp:extent cx="3240000" cy="2688711"/>
            <wp:effectExtent l="0" t="0" r="0" b="0"/>
            <wp:wrapTight wrapText="bothSides">
              <wp:wrapPolygon edited="0">
                <wp:start x="0" y="0"/>
                <wp:lineTo x="0" y="21427"/>
                <wp:lineTo x="21465" y="21427"/>
                <wp:lineTo x="21465" y="0"/>
                <wp:lineTo x="0" y="0"/>
              </wp:wrapPolygon>
            </wp:wrapTight>
            <wp:docPr id="26" name="Picture 2">
              <a:extLst xmlns:a="http://schemas.openxmlformats.org/drawingml/2006/main">
                <a:ext uri="{FF2B5EF4-FFF2-40B4-BE49-F238E27FC236}">
                  <a16:creationId xmlns:a16="http://schemas.microsoft.com/office/drawing/2014/main" id="{AE4ADEAB-5835-4F76-80FE-1B63D5A51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E4ADEAB-5835-4F76-80FE-1B63D5A5195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688711"/>
                    </a:xfrm>
                    <a:prstGeom prst="rect">
                      <a:avLst/>
                    </a:prstGeom>
                  </pic:spPr>
                </pic:pic>
              </a:graphicData>
            </a:graphic>
            <wp14:sizeRelH relativeFrom="page">
              <wp14:pctWidth>0</wp14:pctWidth>
            </wp14:sizeRelH>
            <wp14:sizeRelV relativeFrom="page">
              <wp14:pctHeight>0</wp14:pctHeight>
            </wp14:sizeRelV>
          </wp:anchor>
        </w:drawing>
      </w:r>
    </w:p>
    <w:p w14:paraId="72706712" w14:textId="5C94DE57" w:rsidR="00F071E4" w:rsidRDefault="00F071E4" w:rsidP="00256BB7">
      <w:r>
        <w:rPr>
          <w:noProof/>
        </w:rPr>
        <w:drawing>
          <wp:anchor distT="0" distB="0" distL="114300" distR="114300" simplePos="0" relativeHeight="251662336" behindDoc="0" locked="0" layoutInCell="1" allowOverlap="1" wp14:anchorId="09B8D1A7" wp14:editId="63F01111">
            <wp:simplePos x="0" y="0"/>
            <wp:positionH relativeFrom="column">
              <wp:posOffset>3327400</wp:posOffset>
            </wp:positionH>
            <wp:positionV relativeFrom="paragraph">
              <wp:posOffset>302260</wp:posOffset>
            </wp:positionV>
            <wp:extent cx="2303780" cy="1788795"/>
            <wp:effectExtent l="0" t="0" r="1270" b="1905"/>
            <wp:wrapSquare wrapText="right"/>
            <wp:docPr id="27" name="Picture 8">
              <a:extLst xmlns:a="http://schemas.openxmlformats.org/drawingml/2006/main">
                <a:ext uri="{FF2B5EF4-FFF2-40B4-BE49-F238E27FC236}">
                  <a16:creationId xmlns:a16="http://schemas.microsoft.com/office/drawing/2014/main" id="{F8855BC3-93FD-4BC7-9CB1-AD1099547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8855BC3-93FD-4BC7-9CB1-AD10995476D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780" cy="1788795"/>
                    </a:xfrm>
                    <a:prstGeom prst="rect">
                      <a:avLst/>
                    </a:prstGeom>
                  </pic:spPr>
                </pic:pic>
              </a:graphicData>
            </a:graphic>
            <wp14:sizeRelH relativeFrom="margin">
              <wp14:pctWidth>0</wp14:pctWidth>
            </wp14:sizeRelH>
            <wp14:sizeRelV relativeFrom="margin">
              <wp14:pctHeight>0</wp14:pctHeight>
            </wp14:sizeRelV>
          </wp:anchor>
        </w:drawing>
      </w:r>
    </w:p>
    <w:p w14:paraId="06DA2DBA" w14:textId="77777777" w:rsidR="00F071E4" w:rsidRDefault="00F071E4" w:rsidP="00256BB7"/>
    <w:p w14:paraId="03EE1383" w14:textId="77777777" w:rsidR="00F071E4" w:rsidRDefault="00F071E4" w:rsidP="00256BB7"/>
    <w:p w14:paraId="7B6E7FA2" w14:textId="77777777" w:rsidR="005264A4" w:rsidRDefault="005264A4" w:rsidP="00256BB7"/>
    <w:p w14:paraId="223657B5" w14:textId="0F406F44" w:rsidR="00256BB7" w:rsidRDefault="00841666" w:rsidP="00256BB7">
      <w:r>
        <w:t xml:space="preserve">In most magma types, HFSE’s (eg., Nb, Th, REE’s, Y) are incompatible and keep increasing with increasing SiO2. </w:t>
      </w:r>
      <w:r w:rsidR="00CA41C2">
        <w:t xml:space="preserve">In porphyry Cu systems, the HFSE’s actually decline with increasing SiO2. </w:t>
      </w:r>
      <w:r w:rsidR="008E0942">
        <w:t xml:space="preserve">The plots below show a suite of porphyry Cu magmas </w:t>
      </w:r>
      <w:r w:rsidR="008E0942" w:rsidRPr="008E0942">
        <w:t>associated with the Eocene Coroccohuayco deposit</w:t>
      </w:r>
      <w:r w:rsidR="008E0942">
        <w:t xml:space="preserve"> (Chelle-Michou, 2013).</w:t>
      </w:r>
      <w:r w:rsidR="008E0942" w:rsidRPr="008E0942">
        <w:t xml:space="preserve"> </w:t>
      </w:r>
      <w:r w:rsidR="009010ED">
        <w:t xml:space="preserve">Note </w:t>
      </w:r>
      <w:r w:rsidR="00CA41C2">
        <w:t xml:space="preserve">the </w:t>
      </w:r>
      <w:r w:rsidR="009010ED">
        <w:t xml:space="preserve">similarity of the </w:t>
      </w:r>
      <w:r w:rsidR="00CA41C2">
        <w:t xml:space="preserve">SiO2 vs Nb, Th, La, Y plots </w:t>
      </w:r>
      <w:r w:rsidR="00010ADE">
        <w:t>(figure 8)</w:t>
      </w:r>
      <w:r w:rsidR="00CA41C2">
        <w:t xml:space="preserve"> with the SiO2 vs Zr plot </w:t>
      </w:r>
      <w:r w:rsidR="00010ADE">
        <w:t>(figure 4)</w:t>
      </w:r>
      <w:r w:rsidR="00CA41C2">
        <w:t xml:space="preserve">. The mineral phase in porphyry Cu systems that takes up all of these elements is titanite. In PCD’s, titanite crystallization begins at about 60%SiO2.  </w:t>
      </w:r>
      <w:r w:rsidR="00A965E7">
        <w:t xml:space="preserve">Importantly, note how the trajectory of Y mirrors those of the other HFSE’s. </w:t>
      </w:r>
    </w:p>
    <w:p w14:paraId="0C41196F" w14:textId="77777777" w:rsidR="005264A4" w:rsidRDefault="008972EF" w:rsidP="005264A4">
      <w:pPr>
        <w:keepNext/>
      </w:pPr>
      <w:r w:rsidRPr="008972EF">
        <w:rPr>
          <w:noProof/>
        </w:rPr>
        <w:lastRenderedPageBreak/>
        <w:drawing>
          <wp:inline distT="0" distB="0" distL="0" distR="0" wp14:anchorId="063D9B1D" wp14:editId="0BF8EAEC">
            <wp:extent cx="5731510" cy="38023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802380"/>
                    </a:xfrm>
                    <a:prstGeom prst="rect">
                      <a:avLst/>
                    </a:prstGeom>
                  </pic:spPr>
                </pic:pic>
              </a:graphicData>
            </a:graphic>
          </wp:inline>
        </w:drawing>
      </w:r>
    </w:p>
    <w:p w14:paraId="19CF8323" w14:textId="7E10CD0C" w:rsidR="00256BB7" w:rsidRDefault="005264A4" w:rsidP="005264A4">
      <w:pPr>
        <w:pStyle w:val="Caption"/>
      </w:pPr>
      <w:r>
        <w:t xml:space="preserve">Figure </w:t>
      </w:r>
      <w:r w:rsidR="00260BFD">
        <w:fldChar w:fldCharType="begin"/>
      </w:r>
      <w:r w:rsidR="00260BFD">
        <w:instrText xml:space="preserve"> SEQ Figure \* ARABIC </w:instrText>
      </w:r>
      <w:r w:rsidR="00260BFD">
        <w:fldChar w:fldCharType="separate"/>
      </w:r>
      <w:r w:rsidR="006C59AA">
        <w:rPr>
          <w:noProof/>
        </w:rPr>
        <w:t>8</w:t>
      </w:r>
      <w:r w:rsidR="00260BFD">
        <w:rPr>
          <w:noProof/>
        </w:rPr>
        <w:fldChar w:fldCharType="end"/>
      </w:r>
      <w:r>
        <w:t>. SiO2 versus Nb, Th, La, Y</w:t>
      </w:r>
      <w:r w:rsidR="00010ADE">
        <w:t xml:space="preserve">; </w:t>
      </w:r>
      <w:r w:rsidR="00010ADE" w:rsidRPr="008E0942">
        <w:t>Coroccohuayco</w:t>
      </w:r>
      <w:r w:rsidR="00010ADE">
        <w:t xml:space="preserve"> District, (Chelle-Michou, 2013).</w:t>
      </w:r>
    </w:p>
    <w:p w14:paraId="084D62BE" w14:textId="7FEA9B12" w:rsidR="008E0942" w:rsidRDefault="00CA41C2" w:rsidP="00841666">
      <w:r>
        <w:t>An important study by Olsen et al (2015) looked at the trace element contents in titanite compared to whole rock concentrations of HFSE’s</w:t>
      </w:r>
      <w:r w:rsidR="00010ADE">
        <w:t xml:space="preserve"> (figure 9)</w:t>
      </w:r>
      <w:r>
        <w:t xml:space="preserve">. They demonstrated that titanite accommodated almost all of the HFSE’s in the porphyry magmas, and that fractionation of even a small amount of titanite would have a significant impact on trace element patterns. </w:t>
      </w:r>
      <w:r w:rsidR="00A965E7">
        <w:t xml:space="preserve">It is inevitable that titanite fractionation makes a huge difference to the Yttrium budget in these magmas. </w:t>
      </w:r>
    </w:p>
    <w:p w14:paraId="163C69D3" w14:textId="77777777" w:rsidR="005264A4" w:rsidRDefault="00841666" w:rsidP="005264A4">
      <w:pPr>
        <w:keepNext/>
      </w:pPr>
      <w:r w:rsidRPr="00096DA3">
        <w:rPr>
          <w:noProof/>
        </w:rPr>
        <w:drawing>
          <wp:inline distT="0" distB="0" distL="0" distR="0" wp14:anchorId="4A09219B" wp14:editId="5B5B0CE0">
            <wp:extent cx="5731510" cy="2985770"/>
            <wp:effectExtent l="0" t="0" r="2540" b="5080"/>
            <wp:docPr id="38" name="Picture 1">
              <a:extLst xmlns:a="http://schemas.openxmlformats.org/drawingml/2006/main">
                <a:ext uri="{FF2B5EF4-FFF2-40B4-BE49-F238E27FC236}">
                  <a16:creationId xmlns:a16="http://schemas.microsoft.com/office/drawing/2014/main" id="{AF33FBCB-31D8-42A1-B458-E3D4AD85B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33FBCB-31D8-42A1-B458-E3D4AD85BF38}"/>
                        </a:ext>
                      </a:extLst>
                    </pic:cNvPr>
                    <pic:cNvPicPr>
                      <a:picLocks noChangeAspect="1"/>
                    </pic:cNvPicPr>
                  </pic:nvPicPr>
                  <pic:blipFill>
                    <a:blip r:embed="rId18"/>
                    <a:stretch>
                      <a:fillRect/>
                    </a:stretch>
                  </pic:blipFill>
                  <pic:spPr>
                    <a:xfrm>
                      <a:off x="0" y="0"/>
                      <a:ext cx="5731510" cy="2985770"/>
                    </a:xfrm>
                    <a:prstGeom prst="rect">
                      <a:avLst/>
                    </a:prstGeom>
                  </pic:spPr>
                </pic:pic>
              </a:graphicData>
            </a:graphic>
          </wp:inline>
        </w:drawing>
      </w:r>
    </w:p>
    <w:p w14:paraId="052DD320" w14:textId="55050B00" w:rsidR="00841666" w:rsidRDefault="005264A4" w:rsidP="005264A4">
      <w:pPr>
        <w:pStyle w:val="Caption"/>
      </w:pPr>
      <w:r>
        <w:t xml:space="preserve">Figure </w:t>
      </w:r>
      <w:r w:rsidR="00260BFD">
        <w:fldChar w:fldCharType="begin"/>
      </w:r>
      <w:r w:rsidR="00260BFD">
        <w:instrText xml:space="preserve"> SEQ Figure \* ARABIC </w:instrText>
      </w:r>
      <w:r w:rsidR="00260BFD">
        <w:fldChar w:fldCharType="separate"/>
      </w:r>
      <w:r w:rsidR="006C59AA">
        <w:rPr>
          <w:noProof/>
        </w:rPr>
        <w:t>9</w:t>
      </w:r>
      <w:r w:rsidR="00260BFD">
        <w:rPr>
          <w:noProof/>
        </w:rPr>
        <w:fldChar w:fldCharType="end"/>
      </w:r>
      <w:r>
        <w:t>. REE and HFSE spider plots from Pebble Porphyry Cu, Olsen et al, 2015.</w:t>
      </w:r>
    </w:p>
    <w:p w14:paraId="251E0F30" w14:textId="77777777" w:rsidR="005264A4" w:rsidRDefault="008E0942" w:rsidP="005264A4">
      <w:pPr>
        <w:keepNext/>
      </w:pPr>
      <w:r w:rsidRPr="008E0942">
        <w:rPr>
          <w:noProof/>
        </w:rPr>
        <w:lastRenderedPageBreak/>
        <w:drawing>
          <wp:inline distT="0" distB="0" distL="0" distR="0" wp14:anchorId="733F70D5" wp14:editId="3B1113D6">
            <wp:extent cx="4320000" cy="2357190"/>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2357190"/>
                    </a:xfrm>
                    <a:prstGeom prst="rect">
                      <a:avLst/>
                    </a:prstGeom>
                  </pic:spPr>
                </pic:pic>
              </a:graphicData>
            </a:graphic>
          </wp:inline>
        </w:drawing>
      </w:r>
    </w:p>
    <w:p w14:paraId="57F5A27A" w14:textId="161860A8" w:rsidR="008E0942" w:rsidRDefault="005264A4" w:rsidP="005264A4">
      <w:pPr>
        <w:pStyle w:val="Caption"/>
      </w:pPr>
      <w:r>
        <w:t xml:space="preserve">Figure </w:t>
      </w:r>
      <w:r w:rsidR="00260BFD">
        <w:fldChar w:fldCharType="begin"/>
      </w:r>
      <w:r w:rsidR="00260BFD">
        <w:instrText xml:space="preserve"> SEQ Figure \* ARABIC </w:instrText>
      </w:r>
      <w:r w:rsidR="00260BFD">
        <w:fldChar w:fldCharType="separate"/>
      </w:r>
      <w:r w:rsidR="006C59AA">
        <w:rPr>
          <w:noProof/>
        </w:rPr>
        <w:t>10</w:t>
      </w:r>
      <w:r w:rsidR="00260BFD">
        <w:rPr>
          <w:noProof/>
        </w:rPr>
        <w:fldChar w:fldCharType="end"/>
      </w:r>
      <w:r>
        <w:t>. SiO2 vs Sr/Y</w:t>
      </w:r>
      <w:r w:rsidR="00010ADE">
        <w:t xml:space="preserve">. </w:t>
      </w:r>
      <w:r w:rsidR="00010ADE" w:rsidRPr="008E0942">
        <w:t>Coroccohuayco</w:t>
      </w:r>
      <w:r w:rsidR="00010ADE">
        <w:t xml:space="preserve"> District, (Chelle-Michou, 2013).</w:t>
      </w:r>
    </w:p>
    <w:p w14:paraId="5E29EBDC" w14:textId="699B28AB" w:rsidR="00F378E2" w:rsidRPr="00A965E7" w:rsidRDefault="00A965E7" w:rsidP="00F378E2">
      <w:r w:rsidRPr="00A965E7">
        <w:t xml:space="preserve">The trend of increasing Sr/Y in porphyry Cu magmas is commonly interpreted to result from increasing depth (pressure) at the source of melting. However the information presented </w:t>
      </w:r>
      <w:r w:rsidR="009010ED" w:rsidRPr="00A965E7">
        <w:t>above suggests</w:t>
      </w:r>
      <w:r w:rsidRPr="00A965E7">
        <w:t xml:space="preserve"> that the</w:t>
      </w:r>
      <w:r w:rsidR="00F378E2" w:rsidRPr="00A965E7">
        <w:t xml:space="preserve"> increase in Sr/Y as porphyry Cu magmas evolve is a result of titanite fractionation rather than the effect of Y retention in garnet at the source region. </w:t>
      </w:r>
      <w:r>
        <w:t>This has important implications for the interpretation of the geodynamic processes in porphyry Cu provinces.</w:t>
      </w:r>
    </w:p>
    <w:p w14:paraId="51D60FB1" w14:textId="3EDAF2D8" w:rsidR="00256BB7" w:rsidRDefault="008E0942" w:rsidP="00256BB7">
      <w:r>
        <w:t>In the absence of SiO2 analyses, this can be inferred from plotting TiO2 versus Nb</w:t>
      </w:r>
      <w:r w:rsidR="00010ADE">
        <w:t xml:space="preserve"> (figure 11)</w:t>
      </w:r>
      <w:r>
        <w:t>. In all other types of magmas, Nb increases as Ti decreases. In porphyry Cu systems, both Ti and Nb decrease together and head back towards the origin with increasing SiO2.</w:t>
      </w:r>
      <w:r w:rsidR="00B6110C">
        <w:t xml:space="preserve"> </w:t>
      </w:r>
      <w:r w:rsidR="00256BB7">
        <w:t>Because of the influence of titanite, porphyry Cu magmas typically have around 2000 to 4000ppm Ti, 2 to 4 ppm Nb, 2 to 4 ppm Th, low LREE’s and 80 to 100ppm Zr.</w:t>
      </w:r>
    </w:p>
    <w:p w14:paraId="1C24E354" w14:textId="77777777" w:rsidR="00256BB7" w:rsidRDefault="00256BB7" w:rsidP="00256BB7"/>
    <w:p w14:paraId="4E31C1D1" w14:textId="6AC5E44C" w:rsidR="00256BB7" w:rsidRDefault="00256BB7" w:rsidP="00256BB7"/>
    <w:p w14:paraId="3A173BE4" w14:textId="77777777" w:rsidR="005264A4" w:rsidRDefault="00B6110C" w:rsidP="005264A4">
      <w:pPr>
        <w:keepNext/>
      </w:pPr>
      <w:r w:rsidRPr="00B6110C">
        <w:rPr>
          <w:noProof/>
        </w:rPr>
        <w:drawing>
          <wp:inline distT="0" distB="0" distL="0" distR="0" wp14:anchorId="21F79115" wp14:editId="3FC3A6FA">
            <wp:extent cx="5731510" cy="181292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812925"/>
                    </a:xfrm>
                    <a:prstGeom prst="rect">
                      <a:avLst/>
                    </a:prstGeom>
                  </pic:spPr>
                </pic:pic>
              </a:graphicData>
            </a:graphic>
          </wp:inline>
        </w:drawing>
      </w:r>
    </w:p>
    <w:p w14:paraId="0EAFA4AC" w14:textId="79FDBE6C" w:rsidR="00B6110C" w:rsidRDefault="005264A4" w:rsidP="005264A4">
      <w:pPr>
        <w:pStyle w:val="Caption"/>
      </w:pPr>
      <w:r>
        <w:t xml:space="preserve">Figure </w:t>
      </w:r>
      <w:r w:rsidR="00260BFD">
        <w:fldChar w:fldCharType="begin"/>
      </w:r>
      <w:r w:rsidR="00260BFD">
        <w:instrText xml:space="preserve"> SEQ Figure \* ARABIC </w:instrText>
      </w:r>
      <w:r w:rsidR="00260BFD">
        <w:fldChar w:fldCharType="separate"/>
      </w:r>
      <w:r w:rsidR="006C59AA">
        <w:rPr>
          <w:noProof/>
        </w:rPr>
        <w:t>11</w:t>
      </w:r>
      <w:r w:rsidR="00260BFD">
        <w:rPr>
          <w:noProof/>
        </w:rPr>
        <w:fldChar w:fldCharType="end"/>
      </w:r>
      <w:r>
        <w:t xml:space="preserve">. TiO2 vs Nb, Mount Read Volcanics, VMS province; magnetite fractionation. b.) </w:t>
      </w:r>
      <w:r w:rsidR="00010ADE" w:rsidRPr="008E0942">
        <w:t>Coroccohuayco</w:t>
      </w:r>
      <w:r w:rsidR="00010ADE">
        <w:t xml:space="preserve"> District, (Chelle-Michou, 2013)</w:t>
      </w:r>
      <w:r>
        <w:t>; titanite fractionation.</w:t>
      </w:r>
    </w:p>
    <w:p w14:paraId="5C9B0B3F" w14:textId="77777777" w:rsidR="006C59AA" w:rsidRDefault="009010ED" w:rsidP="006C59AA">
      <w:pPr>
        <w:keepNext/>
      </w:pPr>
      <w:r w:rsidRPr="009010ED">
        <w:rPr>
          <w:noProof/>
        </w:rPr>
        <w:lastRenderedPageBreak/>
        <w:drawing>
          <wp:inline distT="0" distB="0" distL="0" distR="0" wp14:anchorId="0FC3C1D3" wp14:editId="2D8CDEB7">
            <wp:extent cx="3600000" cy="2371948"/>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371948"/>
                    </a:xfrm>
                    <a:prstGeom prst="rect">
                      <a:avLst/>
                    </a:prstGeom>
                  </pic:spPr>
                </pic:pic>
              </a:graphicData>
            </a:graphic>
          </wp:inline>
        </w:drawing>
      </w:r>
    </w:p>
    <w:p w14:paraId="597946FA" w14:textId="69DD526E" w:rsidR="004D1183" w:rsidRDefault="006C59AA" w:rsidP="006C59AA">
      <w:pPr>
        <w:pStyle w:val="Caption"/>
        <w:rPr>
          <w:lang w:val="en-US"/>
        </w:rPr>
      </w:pPr>
      <w:r>
        <w:t xml:space="preserve">Figure </w:t>
      </w:r>
      <w:r w:rsidR="00260BFD">
        <w:fldChar w:fldCharType="begin"/>
      </w:r>
      <w:r w:rsidR="00260BFD">
        <w:instrText xml:space="preserve"> SEQ Figure \* ARABIC </w:instrText>
      </w:r>
      <w:r w:rsidR="00260BFD">
        <w:fldChar w:fldCharType="separate"/>
      </w:r>
      <w:r>
        <w:rPr>
          <w:noProof/>
        </w:rPr>
        <w:t>12</w:t>
      </w:r>
      <w:r w:rsidR="00260BFD">
        <w:rPr>
          <w:noProof/>
        </w:rPr>
        <w:fldChar w:fldCharType="end"/>
      </w:r>
      <w:r>
        <w:t>. SiO2 vs Sr/Y; oceanic island arc porphyry Cu system, Indonesia</w:t>
      </w:r>
    </w:p>
    <w:p w14:paraId="70140588" w14:textId="1456A766" w:rsidR="004B6510" w:rsidRDefault="004D1183" w:rsidP="00256BB7">
      <w:pPr>
        <w:rPr>
          <w:lang w:val="en-US"/>
        </w:rPr>
      </w:pPr>
      <w:r>
        <w:rPr>
          <w:lang w:val="en-US"/>
        </w:rPr>
        <w:t xml:space="preserve">As further evidence that low Y is not related to thick crust and high-pressure melting, oceanic island arc porphyry systems show the same Sr/Y signatures as Andean porphyry systems. </w:t>
      </w:r>
      <w:r w:rsidR="00010ADE">
        <w:rPr>
          <w:lang w:val="en-US"/>
        </w:rPr>
        <w:t>Figure 12</w:t>
      </w:r>
      <w:r>
        <w:rPr>
          <w:lang w:val="en-US"/>
        </w:rPr>
        <w:t xml:space="preserve"> is an example from </w:t>
      </w:r>
      <w:r w:rsidR="002E0EF2">
        <w:rPr>
          <w:lang w:val="en-US"/>
        </w:rPr>
        <w:t>an Indonesian porphyry Cu deposit</w:t>
      </w:r>
      <w:r>
        <w:rPr>
          <w:lang w:val="en-US"/>
        </w:rPr>
        <w:t xml:space="preserve"> comparing the mineralized diorite in red, with the andesitic volcaniclastic country rock in </w:t>
      </w:r>
      <w:r w:rsidR="002E0EF2">
        <w:rPr>
          <w:lang w:val="en-US"/>
        </w:rPr>
        <w:t>green</w:t>
      </w:r>
      <w:r>
        <w:rPr>
          <w:lang w:val="en-US"/>
        </w:rPr>
        <w:t xml:space="preserve">. </w:t>
      </w:r>
    </w:p>
    <w:p w14:paraId="050F6D11" w14:textId="59EDF1F4" w:rsidR="004B6510" w:rsidRPr="001E398E" w:rsidRDefault="00362878" w:rsidP="00256BB7">
      <w:pPr>
        <w:rPr>
          <w:lang w:val="en-US"/>
        </w:rPr>
      </w:pPr>
      <w:r>
        <w:rPr>
          <w:lang w:val="en-US"/>
        </w:rPr>
        <w:t>It is quite informative to compare porphyry Cu magmatic signatures with granitoids in Archean greenstones. H</w:t>
      </w:r>
      <w:r w:rsidR="001E398E" w:rsidRPr="001E398E">
        <w:rPr>
          <w:lang w:val="en-US"/>
        </w:rPr>
        <w:t xml:space="preserve">igh Sr/Y magmas are common </w:t>
      </w:r>
      <w:r>
        <w:rPr>
          <w:lang w:val="en-US"/>
        </w:rPr>
        <w:t>among the</w:t>
      </w:r>
      <w:r w:rsidR="001E398E" w:rsidRPr="001E398E">
        <w:rPr>
          <w:lang w:val="en-US"/>
        </w:rPr>
        <w:t xml:space="preserve"> Archean granitoids. The</w:t>
      </w:r>
      <w:r>
        <w:rPr>
          <w:lang w:val="en-US"/>
        </w:rPr>
        <w:t xml:space="preserve"> following</w:t>
      </w:r>
      <w:r w:rsidR="001E398E" w:rsidRPr="001E398E">
        <w:rPr>
          <w:lang w:val="en-US"/>
        </w:rPr>
        <w:t xml:space="preserve"> plots </w:t>
      </w:r>
      <w:r>
        <w:rPr>
          <w:lang w:val="en-US"/>
        </w:rPr>
        <w:t>were derived</w:t>
      </w:r>
      <w:r w:rsidR="001E398E" w:rsidRPr="001E398E">
        <w:rPr>
          <w:lang w:val="en-US"/>
        </w:rPr>
        <w:t xml:space="preserve"> from data collected across the Yilgarn Craton in AMIRA project P482. The granitoids were classified based on compositional characteristics, with the most common categories including high Ca, low Ca, mafic granitoids and syenites.</w:t>
      </w:r>
      <w:r w:rsidR="001E398E">
        <w:rPr>
          <w:lang w:val="en-US"/>
        </w:rPr>
        <w:t xml:space="preserve"> The Archean high Ca granites have strongly elevated Sr/Y, they have not fractionated plagioclase as indicated by the lack of a Europium anomaly, and they </w:t>
      </w:r>
      <w:r>
        <w:rPr>
          <w:lang w:val="en-US"/>
        </w:rPr>
        <w:t>consistently have significantly lower HFSE’s than the low Ca granites. These have clearly also fractionated titanite. By comparing these two “adakite-like” environments, we can say that these magmas are generated in P-T-a</w:t>
      </w:r>
      <w:r w:rsidRPr="00362878">
        <w:rPr>
          <w:vertAlign w:val="subscript"/>
          <w:lang w:val="en-US"/>
        </w:rPr>
        <w:t>H2O</w:t>
      </w:r>
      <w:r>
        <w:rPr>
          <w:lang w:val="en-US"/>
        </w:rPr>
        <w:t xml:space="preserve"> conditions where hornblende begins crystallizing before magnetite, and titanite begins crystallizing before plagioclase. This requires high pressure melting of a hydrous mafic source region under at least moderately oxidized conditions.</w:t>
      </w:r>
    </w:p>
    <w:p w14:paraId="3C9C8C59" w14:textId="77777777" w:rsidR="006C59AA" w:rsidRDefault="004B6510" w:rsidP="006C59AA">
      <w:pPr>
        <w:keepNext/>
      </w:pPr>
      <w:r w:rsidRPr="004B6510">
        <w:rPr>
          <w:noProof/>
        </w:rPr>
        <w:drawing>
          <wp:inline distT="0" distB="0" distL="0" distR="0" wp14:anchorId="6778A1C7" wp14:editId="1BB60515">
            <wp:extent cx="5731510" cy="179451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794510"/>
                    </a:xfrm>
                    <a:prstGeom prst="rect">
                      <a:avLst/>
                    </a:prstGeom>
                  </pic:spPr>
                </pic:pic>
              </a:graphicData>
            </a:graphic>
          </wp:inline>
        </w:drawing>
      </w:r>
    </w:p>
    <w:p w14:paraId="5C08B090" w14:textId="720FF40B" w:rsidR="00362878" w:rsidRDefault="006C59AA" w:rsidP="006C59AA">
      <w:pPr>
        <w:pStyle w:val="Caption"/>
        <w:rPr>
          <w:lang w:val="en-US"/>
        </w:rPr>
      </w:pPr>
      <w:r>
        <w:t xml:space="preserve">Figure </w:t>
      </w:r>
      <w:r w:rsidR="00260BFD">
        <w:fldChar w:fldCharType="begin"/>
      </w:r>
      <w:r w:rsidR="00260BFD">
        <w:instrText xml:space="preserve"> SEQ Figure \* ARABIC </w:instrText>
      </w:r>
      <w:r w:rsidR="00260BFD">
        <w:fldChar w:fldCharType="separate"/>
      </w:r>
      <w:r>
        <w:rPr>
          <w:noProof/>
        </w:rPr>
        <w:t>13</w:t>
      </w:r>
      <w:r w:rsidR="00260BFD">
        <w:rPr>
          <w:noProof/>
        </w:rPr>
        <w:fldChar w:fldCharType="end"/>
      </w:r>
      <w:r>
        <w:t>. SiO2 vs Eu* and TiOs vs Nb, AMIRA P482, Yilgarn Granites database</w:t>
      </w:r>
    </w:p>
    <w:p w14:paraId="1B42CEEC" w14:textId="41A34B18" w:rsidR="00AC4E86" w:rsidRPr="00772B28" w:rsidRDefault="00722651" w:rsidP="00256BB7">
      <w:pPr>
        <w:rPr>
          <w:lang w:val="en-US"/>
        </w:rPr>
      </w:pPr>
      <w:r w:rsidRPr="00772B28">
        <w:rPr>
          <w:lang w:val="en-US"/>
        </w:rPr>
        <w:t xml:space="preserve">What are the differences between </w:t>
      </w:r>
      <w:r w:rsidR="00AC4E86" w:rsidRPr="00772B28">
        <w:rPr>
          <w:lang w:val="en-US"/>
        </w:rPr>
        <w:t xml:space="preserve">Alkalic </w:t>
      </w:r>
      <w:r w:rsidRPr="00772B28">
        <w:rPr>
          <w:lang w:val="en-US"/>
        </w:rPr>
        <w:t>and</w:t>
      </w:r>
      <w:r w:rsidR="00AC4E86" w:rsidRPr="00772B28">
        <w:rPr>
          <w:lang w:val="en-US"/>
        </w:rPr>
        <w:t xml:space="preserve"> Calc-alkali</w:t>
      </w:r>
      <w:r w:rsidRPr="00772B28">
        <w:rPr>
          <w:lang w:val="en-US"/>
        </w:rPr>
        <w:t xml:space="preserve">c magmas? Alkalic magmas are interpreted to </w:t>
      </w:r>
      <w:r w:rsidR="00772B28" w:rsidRPr="00772B28">
        <w:rPr>
          <w:lang w:val="en-US"/>
        </w:rPr>
        <w:t xml:space="preserve">be the product of a </w:t>
      </w:r>
      <w:r w:rsidRPr="00772B28">
        <w:rPr>
          <w:lang w:val="en-US"/>
        </w:rPr>
        <w:t xml:space="preserve">low degree of partial melting from a metasomatized source. The low degree of partial melting means that they are K-Na rich rather than Ca. It seems that with a low Ca content, titanite does not crystallize, therefore the HFSE’s remain incompatible. Alkalic magmas </w:t>
      </w:r>
      <w:r w:rsidR="00772B28" w:rsidRPr="00772B28">
        <w:rPr>
          <w:lang w:val="en-US"/>
        </w:rPr>
        <w:t xml:space="preserve">have an </w:t>
      </w:r>
      <w:r w:rsidR="00772B28" w:rsidRPr="00772B28">
        <w:rPr>
          <w:lang w:val="en-US"/>
        </w:rPr>
        <w:lastRenderedPageBreak/>
        <w:t xml:space="preserve">initial </w:t>
      </w:r>
      <w:r w:rsidRPr="00772B28">
        <w:rPr>
          <w:lang w:val="en-US"/>
        </w:rPr>
        <w:t>high content of HFSE’s and evolve to even higher contents. In hydrothermally altered rocks, the alkalic signature cannot be interpreted just from whole rock K and Na.</w:t>
      </w:r>
    </w:p>
    <w:p w14:paraId="68B3468A" w14:textId="77777777" w:rsidR="006C59AA" w:rsidRDefault="005037AF" w:rsidP="006C59AA">
      <w:pPr>
        <w:keepNext/>
      </w:pPr>
      <w:r w:rsidRPr="005037AF">
        <w:rPr>
          <w:noProof/>
          <w:color w:val="FF0000"/>
          <w:lang w:val="en-US"/>
        </w:rPr>
        <w:drawing>
          <wp:inline distT="0" distB="0" distL="0" distR="0" wp14:anchorId="3CC41456" wp14:editId="03A17F5C">
            <wp:extent cx="4320000" cy="3076074"/>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3076074"/>
                    </a:xfrm>
                    <a:prstGeom prst="rect">
                      <a:avLst/>
                    </a:prstGeom>
                  </pic:spPr>
                </pic:pic>
              </a:graphicData>
            </a:graphic>
          </wp:inline>
        </w:drawing>
      </w:r>
    </w:p>
    <w:p w14:paraId="54CE7905" w14:textId="587E7D32" w:rsidR="005037AF" w:rsidRDefault="006C59AA" w:rsidP="006C59AA">
      <w:pPr>
        <w:pStyle w:val="Caption"/>
        <w:rPr>
          <w:color w:val="FF0000"/>
          <w:lang w:val="en-US"/>
        </w:rPr>
      </w:pPr>
      <w:r>
        <w:t xml:space="preserve">Figure </w:t>
      </w:r>
      <w:r w:rsidR="00260BFD">
        <w:fldChar w:fldCharType="begin"/>
      </w:r>
      <w:r w:rsidR="00260BFD">
        <w:instrText xml:space="preserve"> SEQ Fi</w:instrText>
      </w:r>
      <w:r w:rsidR="00260BFD">
        <w:instrText xml:space="preserve">gure \* ARABIC </w:instrText>
      </w:r>
      <w:r w:rsidR="00260BFD">
        <w:fldChar w:fldCharType="separate"/>
      </w:r>
      <w:r>
        <w:rPr>
          <w:noProof/>
        </w:rPr>
        <w:t>14</w:t>
      </w:r>
      <w:r w:rsidR="00260BFD">
        <w:rPr>
          <w:noProof/>
        </w:rPr>
        <w:fldChar w:fldCharType="end"/>
      </w:r>
      <w:r w:rsidR="00010ADE">
        <w:t xml:space="preserve">. </w:t>
      </w:r>
      <w:r>
        <w:t>Zr versus Hf, Wallaby gold deposit, Yilgarn craton.</w:t>
      </w:r>
    </w:p>
    <w:p w14:paraId="36CBF77B" w14:textId="1972DA02" w:rsidR="005037AF" w:rsidRPr="00772B28" w:rsidRDefault="005037AF" w:rsidP="00256BB7">
      <w:pPr>
        <w:rPr>
          <w:lang w:val="en-US"/>
        </w:rPr>
      </w:pPr>
      <w:r w:rsidRPr="00772B28">
        <w:rPr>
          <w:lang w:val="en-US"/>
        </w:rPr>
        <w:t xml:space="preserve">Alkalic magmas do not </w:t>
      </w:r>
      <w:r w:rsidR="00772B28" w:rsidRPr="00772B28">
        <w:rPr>
          <w:lang w:val="en-US"/>
        </w:rPr>
        <w:t>have a negative Eu anomaly</w:t>
      </w:r>
      <w:r w:rsidRPr="00772B28">
        <w:rPr>
          <w:lang w:val="en-US"/>
        </w:rPr>
        <w:t xml:space="preserve">, have high Sr and Ba due to the metasomatized source, </w:t>
      </w:r>
      <w:r w:rsidR="00772B28" w:rsidRPr="00772B28">
        <w:rPr>
          <w:lang w:val="en-US"/>
        </w:rPr>
        <w:t xml:space="preserve">have a high Sr/Y ratio but still plot on the high Y side of the adakite field, </w:t>
      </w:r>
      <w:r w:rsidRPr="00772B28">
        <w:rPr>
          <w:lang w:val="en-US"/>
        </w:rPr>
        <w:t xml:space="preserve">have high </w:t>
      </w:r>
      <w:r w:rsidR="00772B28" w:rsidRPr="00772B28">
        <w:rPr>
          <w:lang w:val="en-US"/>
        </w:rPr>
        <w:t xml:space="preserve">V/Sc, high </w:t>
      </w:r>
      <w:r w:rsidRPr="00772B28">
        <w:rPr>
          <w:lang w:val="en-US"/>
        </w:rPr>
        <w:t>levels of REE’s, especially LREE’s</w:t>
      </w:r>
      <w:r w:rsidR="002E0EF2">
        <w:rPr>
          <w:lang w:val="en-US"/>
        </w:rPr>
        <w:t xml:space="preserve"> and are phosphorous-rich</w:t>
      </w:r>
      <w:r w:rsidR="00772B28" w:rsidRPr="00772B28">
        <w:rPr>
          <w:lang w:val="en-US"/>
        </w:rPr>
        <w:t xml:space="preserve">. The vast majority of </w:t>
      </w:r>
      <w:r w:rsidR="009A1774">
        <w:rPr>
          <w:lang w:val="en-US"/>
        </w:rPr>
        <w:t>igneous rocks</w:t>
      </w:r>
      <w:r w:rsidR="00772B28" w:rsidRPr="00772B28">
        <w:rPr>
          <w:lang w:val="en-US"/>
        </w:rPr>
        <w:t xml:space="preserve"> have a Zr/Hf ratio of around 36, </w:t>
      </w:r>
      <w:r w:rsidR="009A1774">
        <w:rPr>
          <w:lang w:val="en-US"/>
        </w:rPr>
        <w:t>although</w:t>
      </w:r>
      <w:r w:rsidR="00772B28" w:rsidRPr="00772B28">
        <w:rPr>
          <w:lang w:val="en-US"/>
        </w:rPr>
        <w:t xml:space="preserve"> in melts that evolve beyond 70% SiO2, the Zr/Hf ratio trend</w:t>
      </w:r>
      <w:r w:rsidR="009A1774">
        <w:rPr>
          <w:lang w:val="en-US"/>
        </w:rPr>
        <w:t>s</w:t>
      </w:r>
      <w:r w:rsidR="00772B28" w:rsidRPr="00772B28">
        <w:rPr>
          <w:lang w:val="en-US"/>
        </w:rPr>
        <w:t xml:space="preserve"> to lower values a</w:t>
      </w:r>
      <w:r w:rsidR="009A1774">
        <w:rPr>
          <w:lang w:val="en-US"/>
        </w:rPr>
        <w:t>s</w:t>
      </w:r>
      <w:r w:rsidR="00772B28" w:rsidRPr="00772B28">
        <w:rPr>
          <w:lang w:val="en-US"/>
        </w:rPr>
        <w:t xml:space="preserve"> zircons crystallize and fractionate. A distinctive characteristic of genuine alkalic magmas is that they have higher whole rock Zr/Hf ratios, often around 50. An explanation for this is that they contain another Zr mineral with a higher Zr/Hf ratio than zircons. Alkalic magmas have higher Zr contents at comparable SiO2 values than other magma </w:t>
      </w:r>
      <w:r w:rsidR="00010ADE" w:rsidRPr="00772B28">
        <w:rPr>
          <w:lang w:val="en-US"/>
        </w:rPr>
        <w:t>types but</w:t>
      </w:r>
      <w:r w:rsidR="00772B28" w:rsidRPr="00772B28">
        <w:rPr>
          <w:lang w:val="en-US"/>
        </w:rPr>
        <w:t xml:space="preserve"> are typically silica undersaturated. The additional zirconium mineral is likely to be baddeleyite (ZrO2)</w:t>
      </w:r>
      <w:r w:rsidR="00772B28">
        <w:rPr>
          <w:lang w:val="en-US"/>
        </w:rPr>
        <w:t>.</w:t>
      </w:r>
      <w:r w:rsidR="009A1774">
        <w:rPr>
          <w:lang w:val="en-US"/>
        </w:rPr>
        <w:t xml:space="preserve"> </w:t>
      </w:r>
      <w:r w:rsidR="00010ADE">
        <w:rPr>
          <w:lang w:val="en-US"/>
        </w:rPr>
        <w:t xml:space="preserve">Figure 14 </w:t>
      </w:r>
      <w:r w:rsidR="009A1774">
        <w:rPr>
          <w:lang w:val="en-US"/>
        </w:rPr>
        <w:t xml:space="preserve">is from Wallaby, an Archean gold deposit in Western Australia. The red points are from a suite of alkalic intrusive rocks and the green points are from basaltic clastic country rocks. </w:t>
      </w:r>
    </w:p>
    <w:p w14:paraId="65E54085" w14:textId="0356DBB1" w:rsidR="00256BB7" w:rsidRPr="00362878" w:rsidRDefault="00256BB7" w:rsidP="00256BB7">
      <w:pPr>
        <w:rPr>
          <w:rFonts w:asciiTheme="majorHAnsi" w:eastAsiaTheme="majorEastAsia" w:hAnsiTheme="majorHAnsi" w:cstheme="majorBidi"/>
          <w:color w:val="FF0000"/>
          <w:sz w:val="32"/>
          <w:szCs w:val="32"/>
          <w:lang w:val="en-US"/>
        </w:rPr>
      </w:pPr>
      <w:r w:rsidRPr="00362878">
        <w:rPr>
          <w:color w:val="FF0000"/>
          <w:lang w:val="en-US"/>
        </w:rPr>
        <w:br w:type="page"/>
      </w:r>
    </w:p>
    <w:p w14:paraId="3F616185" w14:textId="6FA35D03" w:rsidR="00FB3434" w:rsidRPr="00B22CB8" w:rsidRDefault="00772B28" w:rsidP="00B22CB8">
      <w:pPr>
        <w:pStyle w:val="Heading1"/>
        <w:rPr>
          <w:color w:val="auto"/>
          <w:lang w:val="en-US"/>
        </w:rPr>
      </w:pPr>
      <w:r>
        <w:rPr>
          <w:color w:val="auto"/>
          <w:lang w:val="en-US"/>
        </w:rPr>
        <w:lastRenderedPageBreak/>
        <w:t>Tutorial</w:t>
      </w:r>
    </w:p>
    <w:p w14:paraId="1CFE3677" w14:textId="50AE4305" w:rsidR="00285ADE" w:rsidRDefault="00285ADE">
      <w:pPr>
        <w:rPr>
          <w:lang w:val="en-US"/>
        </w:rPr>
      </w:pPr>
      <w:r>
        <w:rPr>
          <w:lang w:val="en-US"/>
        </w:rPr>
        <w:t>This workshop is specifically tailored for porphyry copper systems. We will use immobile trace elements to identify samples that have a common source, that is from the same magmatic event. We also want to understand why each geochemical group has a specific trace element signature. What does the trace element signature tell us about the magma source, fractionation history and porphyry Cu potential?</w:t>
      </w:r>
    </w:p>
    <w:p w14:paraId="68C26493" w14:textId="118DBC69" w:rsidR="0086336B" w:rsidRPr="0086336B" w:rsidRDefault="0086336B" w:rsidP="0086336B">
      <w:pPr>
        <w:rPr>
          <w:lang w:val="en-US"/>
        </w:rPr>
      </w:pPr>
      <w:r>
        <w:rPr>
          <w:lang w:val="en-US"/>
        </w:rPr>
        <w:t xml:space="preserve">The first-pass classification of igneous rock types is based on the SiO2 content; eg basalt, andesite, dacite rhyolite. Si cannot be assayed with a 4 acid digest because Si forms a volatile fluoride complex. Instead we will use Scandium as a guide to how mafic the rocks are. Sc is a compatible element that decreases in abundance as SiO2 increases. </w:t>
      </w:r>
      <w:r w:rsidRPr="0086336B">
        <w:rPr>
          <w:lang w:val="en-US"/>
        </w:rPr>
        <w:t>Sc substitutes for Fe in silicates</w:t>
      </w:r>
      <w:r>
        <w:rPr>
          <w:lang w:val="en-US"/>
        </w:rPr>
        <w:t xml:space="preserve"> such as hornblende, pyroxene, biotite and chlorite.</w:t>
      </w:r>
      <w:r w:rsidRPr="0086336B">
        <w:t xml:space="preserve"> </w:t>
      </w:r>
      <w:r w:rsidRPr="0086336B">
        <w:rPr>
          <w:lang w:val="en-US"/>
        </w:rPr>
        <w:t>As a guide;</w:t>
      </w:r>
    </w:p>
    <w:p w14:paraId="04993D43" w14:textId="77777777" w:rsidR="0086336B" w:rsidRPr="0086336B" w:rsidRDefault="0086336B" w:rsidP="0086336B">
      <w:pPr>
        <w:rPr>
          <w:lang w:val="en-US"/>
        </w:rPr>
      </w:pPr>
      <w:r w:rsidRPr="0086336B">
        <w:rPr>
          <w:lang w:val="en-US"/>
        </w:rPr>
        <w:t>Basalt 30 to 50ppm Sc</w:t>
      </w:r>
    </w:p>
    <w:p w14:paraId="05CFEF5C" w14:textId="77777777" w:rsidR="0086336B" w:rsidRPr="0086336B" w:rsidRDefault="0086336B" w:rsidP="0086336B">
      <w:pPr>
        <w:rPr>
          <w:lang w:val="en-US"/>
        </w:rPr>
      </w:pPr>
      <w:r w:rsidRPr="0086336B">
        <w:rPr>
          <w:lang w:val="en-US"/>
        </w:rPr>
        <w:t>Andesite 20 to 30ppm</w:t>
      </w:r>
    </w:p>
    <w:p w14:paraId="151E62DB" w14:textId="77777777" w:rsidR="0086336B" w:rsidRPr="0086336B" w:rsidRDefault="0086336B" w:rsidP="0086336B">
      <w:pPr>
        <w:rPr>
          <w:lang w:val="en-US"/>
        </w:rPr>
      </w:pPr>
      <w:r w:rsidRPr="0086336B">
        <w:rPr>
          <w:lang w:val="en-US"/>
        </w:rPr>
        <w:t>Dacite 10 to 20 ppm</w:t>
      </w:r>
    </w:p>
    <w:p w14:paraId="61DE25EF" w14:textId="5B83D00A" w:rsidR="0086336B" w:rsidRDefault="0086336B" w:rsidP="0086336B">
      <w:pPr>
        <w:rPr>
          <w:lang w:val="en-US"/>
        </w:rPr>
      </w:pPr>
      <w:r w:rsidRPr="0086336B">
        <w:rPr>
          <w:lang w:val="en-US"/>
        </w:rPr>
        <w:t>Rhyolite &lt;10ppm Sc</w:t>
      </w:r>
    </w:p>
    <w:p w14:paraId="5BD5D0BE" w14:textId="77777777" w:rsidR="006C59AA" w:rsidRDefault="0086336B" w:rsidP="006C59AA">
      <w:pPr>
        <w:keepNext/>
      </w:pPr>
      <w:r w:rsidRPr="0086336B">
        <w:rPr>
          <w:noProof/>
        </w:rPr>
        <w:drawing>
          <wp:inline distT="0" distB="0" distL="0" distR="0" wp14:anchorId="291FA2E5" wp14:editId="46D4E0E4">
            <wp:extent cx="3600000" cy="2244715"/>
            <wp:effectExtent l="0" t="0" r="635" b="3810"/>
            <wp:docPr id="2" name="Picture 1">
              <a:extLst xmlns:a="http://schemas.openxmlformats.org/drawingml/2006/main">
                <a:ext uri="{FF2B5EF4-FFF2-40B4-BE49-F238E27FC236}">
                  <a16:creationId xmlns:a16="http://schemas.microsoft.com/office/drawing/2014/main" id="{ED93E56B-0483-4038-9401-11F2EB44F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93E56B-0483-4038-9401-11F2EB44F37D}"/>
                        </a:ext>
                      </a:extLst>
                    </pic:cNvPr>
                    <pic:cNvPicPr>
                      <a:picLocks noChangeAspect="1"/>
                    </pic:cNvPicPr>
                  </pic:nvPicPr>
                  <pic:blipFill>
                    <a:blip r:embed="rId24"/>
                    <a:stretch>
                      <a:fillRect/>
                    </a:stretch>
                  </pic:blipFill>
                  <pic:spPr>
                    <a:xfrm>
                      <a:off x="0" y="0"/>
                      <a:ext cx="3600000" cy="2244715"/>
                    </a:xfrm>
                    <a:prstGeom prst="rect">
                      <a:avLst/>
                    </a:prstGeom>
                  </pic:spPr>
                </pic:pic>
              </a:graphicData>
            </a:graphic>
          </wp:inline>
        </w:drawing>
      </w:r>
    </w:p>
    <w:p w14:paraId="6AD0F934" w14:textId="0955B266" w:rsidR="0086336B" w:rsidRDefault="006C59AA" w:rsidP="006C59AA">
      <w:pPr>
        <w:pStyle w:val="Caption"/>
        <w:rPr>
          <w:lang w:val="en-US"/>
        </w:rPr>
      </w:pPr>
      <w:r>
        <w:t xml:space="preserve">Figure </w:t>
      </w:r>
      <w:r w:rsidR="00260BFD">
        <w:fldChar w:fldCharType="begin"/>
      </w:r>
      <w:r w:rsidR="00260BFD">
        <w:instrText xml:space="preserve"> SEQ Figure \* ARABIC </w:instrText>
      </w:r>
      <w:r w:rsidR="00260BFD">
        <w:fldChar w:fldCharType="separate"/>
      </w:r>
      <w:r>
        <w:rPr>
          <w:noProof/>
        </w:rPr>
        <w:t>15</w:t>
      </w:r>
      <w:r w:rsidR="00260BFD">
        <w:rPr>
          <w:noProof/>
        </w:rPr>
        <w:fldChar w:fldCharType="end"/>
      </w:r>
      <w:r>
        <w:t>. SiO2 vs Sc.</w:t>
      </w:r>
    </w:p>
    <w:p w14:paraId="277C84F5" w14:textId="3C2CB2DE" w:rsidR="00B22CB8" w:rsidRPr="00025A15" w:rsidRDefault="00025A15" w:rsidP="00025A15">
      <w:pPr>
        <w:pStyle w:val="Heading1"/>
        <w:rPr>
          <w:color w:val="auto"/>
          <w:lang w:val="en-US"/>
        </w:rPr>
      </w:pPr>
      <w:r w:rsidRPr="00025A15">
        <w:rPr>
          <w:color w:val="auto"/>
          <w:lang w:val="en-US"/>
        </w:rPr>
        <w:t>Workflow</w:t>
      </w:r>
    </w:p>
    <w:p w14:paraId="0F52C14D" w14:textId="77777777" w:rsidR="00025A15" w:rsidRPr="00025A15" w:rsidRDefault="00025A15" w:rsidP="00025A15">
      <w:r w:rsidRPr="00025A15">
        <w:rPr>
          <w:b/>
          <w:bCs/>
          <w:lang w:val="en-US"/>
        </w:rPr>
        <w:t>Scandium; Immobile, Substitutes for Fe in silicate minerals.</w:t>
      </w:r>
    </w:p>
    <w:p w14:paraId="74CE6935" w14:textId="77777777" w:rsidR="00025A15" w:rsidRPr="00025A15" w:rsidRDefault="00025A15" w:rsidP="00025A15">
      <w:r w:rsidRPr="00025A15">
        <w:rPr>
          <w:lang w:val="en-US"/>
        </w:rPr>
        <w:t>Plot Sc vs Ti, Th, V, Zr, P, Nb, Al, Cr</w:t>
      </w:r>
    </w:p>
    <w:p w14:paraId="2DA705F9" w14:textId="77777777" w:rsidR="00025A15" w:rsidRPr="00025A15" w:rsidRDefault="00025A15" w:rsidP="00025A15">
      <w:r w:rsidRPr="00025A15">
        <w:rPr>
          <w:b/>
          <w:bCs/>
          <w:lang w:val="en-US"/>
        </w:rPr>
        <w:t>Titanium; Immobile, Occurs in Fe-Ti oxides + biotite, amphibole.</w:t>
      </w:r>
    </w:p>
    <w:p w14:paraId="7B9CF4B3" w14:textId="77777777" w:rsidR="00025A15" w:rsidRPr="00025A15" w:rsidRDefault="00025A15" w:rsidP="00025A15">
      <w:r w:rsidRPr="00025A15">
        <w:rPr>
          <w:lang w:val="en-US"/>
        </w:rPr>
        <w:t>Plot Ti vs Sc, Th, V, Zr, P, Nb, Al, Cr</w:t>
      </w:r>
    </w:p>
    <w:p w14:paraId="4F646FA9" w14:textId="77777777" w:rsidR="00025A15" w:rsidRPr="00025A15" w:rsidRDefault="00025A15" w:rsidP="00025A15">
      <w:r w:rsidRPr="00025A15">
        <w:rPr>
          <w:b/>
          <w:bCs/>
          <w:lang w:val="en-US"/>
        </w:rPr>
        <w:t>Individual plots to pick specific signatures;</w:t>
      </w:r>
    </w:p>
    <w:p w14:paraId="5B1C9151" w14:textId="0C432896" w:rsidR="00025A15" w:rsidRPr="00025A15" w:rsidRDefault="00025A15" w:rsidP="00025A15">
      <w:pPr>
        <w:numPr>
          <w:ilvl w:val="0"/>
          <w:numId w:val="2"/>
        </w:numPr>
      </w:pPr>
      <w:r w:rsidRPr="00025A15">
        <w:rPr>
          <w:b/>
          <w:bCs/>
          <w:lang w:val="en-US"/>
        </w:rPr>
        <w:t xml:space="preserve">V/Sc vs Sc; </w:t>
      </w:r>
      <w:r w:rsidRPr="00025A15">
        <w:rPr>
          <w:lang w:val="en-US"/>
        </w:rPr>
        <w:t xml:space="preserve">to pick signatures of high pressure melting of an amphibole-bearing source, or fractional crystallization of </w:t>
      </w:r>
      <w:r w:rsidR="006C59AA" w:rsidRPr="00025A15">
        <w:rPr>
          <w:lang w:val="en-US"/>
        </w:rPr>
        <w:t>magnetite.</w:t>
      </w:r>
    </w:p>
    <w:p w14:paraId="71FFB1FB" w14:textId="2916B719" w:rsidR="00025A15" w:rsidRPr="00025A15" w:rsidRDefault="00025A15" w:rsidP="00025A15">
      <w:pPr>
        <w:numPr>
          <w:ilvl w:val="0"/>
          <w:numId w:val="2"/>
        </w:numPr>
      </w:pPr>
      <w:r w:rsidRPr="00025A15">
        <w:rPr>
          <w:b/>
          <w:bCs/>
          <w:lang w:val="en-US"/>
        </w:rPr>
        <w:t xml:space="preserve">Ti vs Nb; </w:t>
      </w:r>
      <w:r w:rsidRPr="00025A15">
        <w:rPr>
          <w:lang w:val="en-US"/>
        </w:rPr>
        <w:t xml:space="preserve">to characterize opaque oxide </w:t>
      </w:r>
      <w:r w:rsidR="006C59AA" w:rsidRPr="00025A15">
        <w:rPr>
          <w:lang w:val="en-US"/>
        </w:rPr>
        <w:t>mineralogy.</w:t>
      </w:r>
    </w:p>
    <w:p w14:paraId="26F3D3C3" w14:textId="36082B9A" w:rsidR="00025A15" w:rsidRPr="00025A15" w:rsidRDefault="00025A15" w:rsidP="00025A15">
      <w:pPr>
        <w:numPr>
          <w:ilvl w:val="0"/>
          <w:numId w:val="2"/>
        </w:numPr>
      </w:pPr>
      <w:r w:rsidRPr="00025A15">
        <w:rPr>
          <w:b/>
          <w:bCs/>
          <w:lang w:val="en-US"/>
        </w:rPr>
        <w:t xml:space="preserve">Sr/Y vs Y; </w:t>
      </w:r>
      <w:r w:rsidRPr="00025A15">
        <w:rPr>
          <w:lang w:val="en-US"/>
        </w:rPr>
        <w:t xml:space="preserve">to pick high P melting of plagioclase in hydrous </w:t>
      </w:r>
      <w:r w:rsidR="006C59AA" w:rsidRPr="00025A15">
        <w:rPr>
          <w:lang w:val="en-US"/>
        </w:rPr>
        <w:t>environment.</w:t>
      </w:r>
    </w:p>
    <w:p w14:paraId="336D1942" w14:textId="2FF32887" w:rsidR="00025A15" w:rsidRDefault="00025A15" w:rsidP="0086336B">
      <w:pPr>
        <w:rPr>
          <w:lang w:val="en-US"/>
        </w:rPr>
      </w:pPr>
    </w:p>
    <w:p w14:paraId="29402848" w14:textId="77777777" w:rsidR="004E4109" w:rsidRDefault="004E4109" w:rsidP="0086336B">
      <w:pPr>
        <w:rPr>
          <w:lang w:val="en-US"/>
        </w:rPr>
      </w:pPr>
      <w:r>
        <w:rPr>
          <w:lang w:val="en-US"/>
        </w:rPr>
        <w:t>The data supplied for the Lithology module comes from a series of flat-lying andesitic to dacitic volcaniclastics that are intruded by dioritic porphyry Cu stocks.</w:t>
      </w:r>
    </w:p>
    <w:p w14:paraId="7AE10021" w14:textId="603D389E" w:rsidR="006302E6" w:rsidRDefault="006302E6" w:rsidP="0086336B">
      <w:pPr>
        <w:rPr>
          <w:lang w:val="en-US"/>
        </w:rPr>
      </w:pPr>
      <w:r>
        <w:rPr>
          <w:lang w:val="en-US"/>
        </w:rPr>
        <w:t>Start ioGAS.</w:t>
      </w:r>
    </w:p>
    <w:p w14:paraId="27B1FDF6" w14:textId="740956C3" w:rsidR="006302E6" w:rsidRDefault="006302E6" w:rsidP="0086336B">
      <w:pPr>
        <w:rPr>
          <w:lang w:val="en-US"/>
        </w:rPr>
      </w:pPr>
      <w:r>
        <w:rPr>
          <w:lang w:val="en-US"/>
        </w:rPr>
        <w:t xml:space="preserve">Open the </w:t>
      </w:r>
      <w:r w:rsidR="00260BFD" w:rsidRPr="00260BFD">
        <w:rPr>
          <w:lang w:val="en-US"/>
        </w:rPr>
        <w:t>Porphyry Cu Geochemistry Workshop Module1</w:t>
      </w:r>
      <w:r>
        <w:rPr>
          <w:lang w:val="en-US"/>
        </w:rPr>
        <w:t>.</w:t>
      </w:r>
    </w:p>
    <w:p w14:paraId="6EF030FF" w14:textId="3530891C" w:rsidR="006302E6" w:rsidRDefault="004E4109" w:rsidP="0086336B">
      <w:pPr>
        <w:rPr>
          <w:lang w:val="en-US"/>
        </w:rPr>
      </w:pPr>
      <w:r>
        <w:rPr>
          <w:noProof/>
        </w:rPr>
        <w:drawing>
          <wp:inline distT="0" distB="0" distL="0" distR="0" wp14:anchorId="2208D416" wp14:editId="586CDCBC">
            <wp:extent cx="3816350" cy="27491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5455" cy="2755718"/>
                    </a:xfrm>
                    <a:prstGeom prst="rect">
                      <a:avLst/>
                    </a:prstGeom>
                  </pic:spPr>
                </pic:pic>
              </a:graphicData>
            </a:graphic>
          </wp:inline>
        </w:drawing>
      </w:r>
    </w:p>
    <w:p w14:paraId="3950F6DA" w14:textId="63758F50" w:rsidR="006302E6" w:rsidRDefault="006302E6" w:rsidP="0086336B">
      <w:pPr>
        <w:rPr>
          <w:lang w:val="en-US"/>
        </w:rPr>
      </w:pPr>
      <w:r w:rsidRPr="006302E6">
        <w:rPr>
          <w:noProof/>
        </w:rPr>
        <w:drawing>
          <wp:inline distT="0" distB="0" distL="0" distR="0" wp14:anchorId="693E8DB9" wp14:editId="0F8E5C3F">
            <wp:extent cx="3382108" cy="324683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5993" cy="3260169"/>
                    </a:xfrm>
                    <a:prstGeom prst="rect">
                      <a:avLst/>
                    </a:prstGeom>
                  </pic:spPr>
                </pic:pic>
              </a:graphicData>
            </a:graphic>
          </wp:inline>
        </w:drawing>
      </w:r>
    </w:p>
    <w:p w14:paraId="3007D345" w14:textId="10A886DF" w:rsidR="006302E6" w:rsidRDefault="006302E6" w:rsidP="0086336B">
      <w:pPr>
        <w:rPr>
          <w:lang w:val="en-US"/>
        </w:rPr>
      </w:pPr>
      <w:r>
        <w:rPr>
          <w:lang w:val="en-US"/>
        </w:rPr>
        <w:t>Ensure that the correct fields have been selected for East, North and Elevation.</w:t>
      </w:r>
    </w:p>
    <w:p w14:paraId="2C4AC05A" w14:textId="17034409" w:rsidR="006302E6" w:rsidRDefault="006302E6" w:rsidP="0086336B">
      <w:pPr>
        <w:rPr>
          <w:lang w:val="en-US"/>
        </w:rPr>
      </w:pPr>
      <w:r>
        <w:rPr>
          <w:lang w:val="en-US"/>
        </w:rPr>
        <w:t>Use the Guess Alias buttons if needed to make sure that all the elements are imported with the correct element name and units (ppb, ppm, pct). If this is the case, the Type will appear as a green dot rather than a blue dot.</w:t>
      </w:r>
    </w:p>
    <w:p w14:paraId="3D678575" w14:textId="5CD4FD8E" w:rsidR="007117C2" w:rsidRPr="007117C2" w:rsidRDefault="006302E6" w:rsidP="0086336B">
      <w:r>
        <w:rPr>
          <w:lang w:val="en-US"/>
        </w:rPr>
        <w:t>In the list of</w:t>
      </w:r>
      <w:r w:rsidR="007117C2">
        <w:rPr>
          <w:lang w:val="en-US"/>
        </w:rPr>
        <w:t xml:space="preserve"> Variables, select </w:t>
      </w:r>
      <w:r w:rsidR="004E4109">
        <w:rPr>
          <w:lang w:val="en-US"/>
        </w:rPr>
        <w:t xml:space="preserve">Sc, Th, Ti, V, P, Nb and Cr. (Usually I would select Zr, but these are Eocene porphyries, and I rocks of this age I know that not all of the zircons will dissolve in a 4 acid </w:t>
      </w:r>
      <w:r w:rsidR="004E4109">
        <w:rPr>
          <w:lang w:val="en-US"/>
        </w:rPr>
        <w:lastRenderedPageBreak/>
        <w:t>digest). T</w:t>
      </w:r>
      <w:r w:rsidR="007117C2">
        <w:rPr>
          <w:lang w:val="en-US"/>
        </w:rPr>
        <w:t>o select a variable, highlight the element you want and double click to select it. Then click on OK to accept the selection.</w:t>
      </w:r>
    </w:p>
    <w:p w14:paraId="2B599C1C" w14:textId="6BC0C012" w:rsidR="006302E6" w:rsidRDefault="006302E6" w:rsidP="0086336B">
      <w:pPr>
        <w:rPr>
          <w:lang w:val="en-US"/>
        </w:rPr>
      </w:pPr>
      <w:r>
        <w:rPr>
          <w:lang w:val="en-US"/>
        </w:rPr>
        <w:t xml:space="preserve"> </w:t>
      </w:r>
      <w:r w:rsidRPr="006302E6">
        <w:rPr>
          <w:noProof/>
        </w:rPr>
        <w:drawing>
          <wp:inline distT="0" distB="0" distL="0" distR="0" wp14:anchorId="5BA74727" wp14:editId="37F181C9">
            <wp:extent cx="3004038" cy="2911764"/>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4774" cy="2931863"/>
                    </a:xfrm>
                    <a:prstGeom prst="rect">
                      <a:avLst/>
                    </a:prstGeom>
                  </pic:spPr>
                </pic:pic>
              </a:graphicData>
            </a:graphic>
          </wp:inline>
        </w:drawing>
      </w:r>
    </w:p>
    <w:p w14:paraId="5C957357" w14:textId="69FFD4F9" w:rsidR="007117C2" w:rsidRDefault="007117C2" w:rsidP="0086336B">
      <w:pPr>
        <w:rPr>
          <w:lang w:val="en-US"/>
        </w:rPr>
      </w:pPr>
    </w:p>
    <w:p w14:paraId="169A38B7" w14:textId="21DBE1C0" w:rsidR="007117C2" w:rsidRDefault="007117C2" w:rsidP="0086336B">
      <w:pPr>
        <w:rPr>
          <w:lang w:val="en-US"/>
        </w:rPr>
      </w:pPr>
      <w:r>
        <w:rPr>
          <w:lang w:val="en-US"/>
        </w:rPr>
        <w:t>Make a Y</w:t>
      </w:r>
      <w:r w:rsidR="004E4109">
        <w:rPr>
          <w:lang w:val="en-US"/>
        </w:rPr>
        <w:t>X</w:t>
      </w:r>
      <w:r>
        <w:rPr>
          <w:lang w:val="en-US"/>
        </w:rPr>
        <w:t xml:space="preserve"> plot. This will put </w:t>
      </w:r>
      <w:r w:rsidR="004E4109">
        <w:rPr>
          <w:lang w:val="en-US"/>
        </w:rPr>
        <w:t>Sc</w:t>
      </w:r>
      <w:r>
        <w:rPr>
          <w:lang w:val="en-US"/>
        </w:rPr>
        <w:t xml:space="preserve"> on the y axis and </w:t>
      </w:r>
      <w:r w:rsidR="004E4109">
        <w:rPr>
          <w:lang w:val="en-US"/>
        </w:rPr>
        <w:t xml:space="preserve">Th, Ti, V, P, Nb and Cr </w:t>
      </w:r>
      <w:r>
        <w:rPr>
          <w:lang w:val="en-US"/>
        </w:rPr>
        <w:t>on the x ax</w:t>
      </w:r>
      <w:r w:rsidR="004E4109">
        <w:rPr>
          <w:lang w:val="en-US"/>
        </w:rPr>
        <w:t>e</w:t>
      </w:r>
      <w:r>
        <w:rPr>
          <w:lang w:val="en-US"/>
        </w:rPr>
        <w:t>s.</w:t>
      </w:r>
    </w:p>
    <w:p w14:paraId="50008159" w14:textId="68D3F0E2" w:rsidR="007117C2" w:rsidRDefault="007117C2" w:rsidP="0086336B">
      <w:pPr>
        <w:rPr>
          <w:lang w:val="en-US"/>
        </w:rPr>
      </w:pPr>
      <w:r w:rsidRPr="007117C2">
        <w:rPr>
          <w:noProof/>
        </w:rPr>
        <w:drawing>
          <wp:inline distT="0" distB="0" distL="0" distR="0" wp14:anchorId="210358CC" wp14:editId="360EF37E">
            <wp:extent cx="3600000" cy="908575"/>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908575"/>
                    </a:xfrm>
                    <a:prstGeom prst="rect">
                      <a:avLst/>
                    </a:prstGeom>
                  </pic:spPr>
                </pic:pic>
              </a:graphicData>
            </a:graphic>
          </wp:inline>
        </w:drawing>
      </w:r>
    </w:p>
    <w:p w14:paraId="25CCFDE6" w14:textId="53974B91" w:rsidR="005357F4" w:rsidRDefault="005357F4" w:rsidP="0086336B">
      <w:pPr>
        <w:rPr>
          <w:lang w:val="en-US"/>
        </w:rPr>
      </w:pPr>
      <w:r w:rsidRPr="005357F4">
        <w:rPr>
          <w:noProof/>
          <w:lang w:val="en-US"/>
        </w:rPr>
        <w:drawing>
          <wp:inline distT="0" distB="0" distL="0" distR="0" wp14:anchorId="6E3AD6A9" wp14:editId="72586EF5">
            <wp:extent cx="5731510" cy="322389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pic:spPr>
                </pic:pic>
              </a:graphicData>
            </a:graphic>
          </wp:inline>
        </w:drawing>
      </w:r>
    </w:p>
    <w:p w14:paraId="2871B837" w14:textId="0E957740" w:rsidR="006C5421" w:rsidRDefault="008E264E" w:rsidP="0086336B">
      <w:r>
        <w:t xml:space="preserve">Add a point density contour overlay to help visualise where the clusters are in the data. To do this, use the Icon on the </w:t>
      </w:r>
      <w:r w:rsidR="00413955">
        <w:t>right-hand</w:t>
      </w:r>
      <w:r>
        <w:t xml:space="preserve"> tool bar. The default setting uses 180 by 140 pixels on the plot. You </w:t>
      </w:r>
      <w:r>
        <w:lastRenderedPageBreak/>
        <w:t xml:space="preserve">can make the contouring tighter by using more colour pixels. To do this, use the Icon for the contour settings. </w:t>
      </w:r>
    </w:p>
    <w:p w14:paraId="1931ECF8" w14:textId="0ADB1D64" w:rsidR="00F25C08" w:rsidRPr="00F25C08" w:rsidRDefault="00F25C08" w:rsidP="0086336B">
      <w:pPr>
        <w:rPr>
          <w:lang w:val="en-US"/>
        </w:rPr>
      </w:pPr>
      <w:r w:rsidRPr="00F25C08">
        <w:rPr>
          <w:noProof/>
        </w:rPr>
        <w:drawing>
          <wp:inline distT="0" distB="0" distL="0" distR="0" wp14:anchorId="13034B8A" wp14:editId="3BA2EE97">
            <wp:extent cx="5731510" cy="2461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61895"/>
                    </a:xfrm>
                    <a:prstGeom prst="rect">
                      <a:avLst/>
                    </a:prstGeom>
                  </pic:spPr>
                </pic:pic>
              </a:graphicData>
            </a:graphic>
          </wp:inline>
        </w:drawing>
      </w:r>
    </w:p>
    <w:p w14:paraId="5C8011F8" w14:textId="33B8091D" w:rsidR="00AB69C7" w:rsidRDefault="00AB69C7" w:rsidP="0086336B"/>
    <w:p w14:paraId="364261DF" w14:textId="7929791C" w:rsidR="005357F4" w:rsidRDefault="005357F4" w:rsidP="0086336B">
      <w:r w:rsidRPr="005357F4">
        <w:rPr>
          <w:noProof/>
        </w:rPr>
        <w:drawing>
          <wp:inline distT="0" distB="0" distL="0" distR="0" wp14:anchorId="471810E5" wp14:editId="3DB40D14">
            <wp:extent cx="5731510" cy="247904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479040"/>
                    </a:xfrm>
                    <a:prstGeom prst="rect">
                      <a:avLst/>
                    </a:prstGeom>
                  </pic:spPr>
                </pic:pic>
              </a:graphicData>
            </a:graphic>
          </wp:inline>
        </w:drawing>
      </w:r>
    </w:p>
    <w:p w14:paraId="53B27A3E" w14:textId="55572631" w:rsidR="00CF2D89" w:rsidRDefault="00CF2D89">
      <w:r>
        <w:t>Pick a plot that clearly identifies populations in the data. I chose the Sc vs Th plot as a starting point.</w:t>
      </w:r>
    </w:p>
    <w:p w14:paraId="239DC3DB" w14:textId="77777777" w:rsidR="00CF2D89" w:rsidRDefault="00CF2D89">
      <w:r w:rsidRPr="00CF2D89">
        <w:rPr>
          <w:noProof/>
        </w:rPr>
        <w:drawing>
          <wp:inline distT="0" distB="0" distL="0" distR="0" wp14:anchorId="35B596BB" wp14:editId="245307C5">
            <wp:extent cx="5731510" cy="175958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759585"/>
                    </a:xfrm>
                    <a:prstGeom prst="rect">
                      <a:avLst/>
                    </a:prstGeom>
                  </pic:spPr>
                </pic:pic>
              </a:graphicData>
            </a:graphic>
          </wp:inline>
        </w:drawing>
      </w:r>
    </w:p>
    <w:p w14:paraId="59E7FB12" w14:textId="7158E578" w:rsidR="005357F4" w:rsidRDefault="00CF2D89">
      <w:r>
        <w:t>In the Attribute Manager, make a new colour group and use the Polygon Select tool to assign points in a cluster to that new colour.</w:t>
      </w:r>
    </w:p>
    <w:p w14:paraId="7A681CE8" w14:textId="018D1809" w:rsidR="00CF2D89" w:rsidRDefault="00CF2D89">
      <w:r w:rsidRPr="00CF2D89">
        <w:rPr>
          <w:noProof/>
        </w:rPr>
        <w:lastRenderedPageBreak/>
        <w:drawing>
          <wp:inline distT="0" distB="0" distL="0" distR="0" wp14:anchorId="1CDFCBCA" wp14:editId="38E54AAB">
            <wp:extent cx="4320000" cy="2693658"/>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2693658"/>
                    </a:xfrm>
                    <a:prstGeom prst="rect">
                      <a:avLst/>
                    </a:prstGeom>
                  </pic:spPr>
                </pic:pic>
              </a:graphicData>
            </a:graphic>
          </wp:inline>
        </w:drawing>
      </w:r>
    </w:p>
    <w:p w14:paraId="7DD37EF4" w14:textId="3A89AF41" w:rsidR="00CF2D89" w:rsidRDefault="00CF2D89">
      <w:r>
        <w:t>Samples with high Sc (ie high Fe) and low Th are mafic. Make a green colour group, name it mafic, and assign the high Sc – low Th data points to this group.</w:t>
      </w:r>
    </w:p>
    <w:p w14:paraId="4A2C3C6C" w14:textId="1E16DF7E" w:rsidR="00CF2D89" w:rsidRDefault="00CF2D89"/>
    <w:p w14:paraId="6E889998" w14:textId="5C64FC46" w:rsidR="00CF2D89" w:rsidRDefault="00C01DCB">
      <w:r w:rsidRPr="00C01DCB">
        <w:rPr>
          <w:noProof/>
        </w:rPr>
        <w:drawing>
          <wp:inline distT="0" distB="0" distL="0" distR="0" wp14:anchorId="367024DE" wp14:editId="30FC5C12">
            <wp:extent cx="4320000" cy="2693658"/>
            <wp:effectExtent l="0" t="0" r="4445" b="0"/>
            <wp:docPr id="47" name="Picture 1">
              <a:extLst xmlns:a="http://schemas.openxmlformats.org/drawingml/2006/main">
                <a:ext uri="{FF2B5EF4-FFF2-40B4-BE49-F238E27FC236}">
                  <a16:creationId xmlns:a16="http://schemas.microsoft.com/office/drawing/2014/main" id="{75B8E596-25F9-4013-A40B-DC793C4BB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B8E596-25F9-4013-A40B-DC793C4BBFE0}"/>
                        </a:ext>
                      </a:extLst>
                    </pic:cNvPr>
                    <pic:cNvPicPr>
                      <a:picLocks noChangeAspect="1"/>
                    </pic:cNvPicPr>
                  </pic:nvPicPr>
                  <pic:blipFill>
                    <a:blip r:embed="rId34"/>
                    <a:stretch>
                      <a:fillRect/>
                    </a:stretch>
                  </pic:blipFill>
                  <pic:spPr>
                    <a:xfrm>
                      <a:off x="0" y="0"/>
                      <a:ext cx="4320000" cy="2693658"/>
                    </a:xfrm>
                    <a:prstGeom prst="rect">
                      <a:avLst/>
                    </a:prstGeom>
                  </pic:spPr>
                </pic:pic>
              </a:graphicData>
            </a:graphic>
          </wp:inline>
        </w:drawing>
      </w:r>
    </w:p>
    <w:p w14:paraId="292EEC30" w14:textId="6708C920" w:rsidR="00793A6F" w:rsidRDefault="00793A6F">
      <w:r>
        <w:t>Make a new colour group. Make it pale green and name the group Andesite. Select the cluster of points with around 20ppm Sc and 3 to 4ppm Th.</w:t>
      </w:r>
    </w:p>
    <w:p w14:paraId="0E09B85D" w14:textId="60C9E607" w:rsidR="00C01DCB" w:rsidRDefault="00C01DCB"/>
    <w:p w14:paraId="3C8A7FC6" w14:textId="6E41A4E7" w:rsidR="00C01DCB" w:rsidRDefault="00C01DCB">
      <w:r w:rsidRPr="00C01DCB">
        <w:rPr>
          <w:noProof/>
        </w:rPr>
        <w:lastRenderedPageBreak/>
        <w:drawing>
          <wp:inline distT="0" distB="0" distL="0" distR="0" wp14:anchorId="590AC0DD" wp14:editId="300E02B3">
            <wp:extent cx="4320000" cy="2693658"/>
            <wp:effectExtent l="0" t="0" r="4445" b="0"/>
            <wp:docPr id="48" name="Picture 1">
              <a:extLst xmlns:a="http://schemas.openxmlformats.org/drawingml/2006/main">
                <a:ext uri="{FF2B5EF4-FFF2-40B4-BE49-F238E27FC236}">
                  <a16:creationId xmlns:a16="http://schemas.microsoft.com/office/drawing/2014/main" id="{3B225653-DD00-45F8-8002-48B7783A0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B225653-DD00-45F8-8002-48B7783A02A1}"/>
                        </a:ext>
                      </a:extLst>
                    </pic:cNvPr>
                    <pic:cNvPicPr>
                      <a:picLocks noChangeAspect="1"/>
                    </pic:cNvPicPr>
                  </pic:nvPicPr>
                  <pic:blipFill>
                    <a:blip r:embed="rId35"/>
                    <a:stretch>
                      <a:fillRect/>
                    </a:stretch>
                  </pic:blipFill>
                  <pic:spPr>
                    <a:xfrm>
                      <a:off x="0" y="0"/>
                      <a:ext cx="4320000" cy="2693658"/>
                    </a:xfrm>
                    <a:prstGeom prst="rect">
                      <a:avLst/>
                    </a:prstGeom>
                  </pic:spPr>
                </pic:pic>
              </a:graphicData>
            </a:graphic>
          </wp:inline>
        </w:drawing>
      </w:r>
    </w:p>
    <w:p w14:paraId="67601F50" w14:textId="71504CA4" w:rsidR="00C01DCB" w:rsidRDefault="008447ED">
      <w:r>
        <w:t xml:space="preserve">There are 2 clusters of more thorium rich points. These are more like dacitic compositions. Make 2 new colour groups. Call them Dacite1 and Dacite2. Note the yellow points in the plot above have a broad spread on this plot. These are likely to be volcaniclastics rather than coherent, homogenous facies like a lava or intrusion. </w:t>
      </w:r>
    </w:p>
    <w:p w14:paraId="044C56FD" w14:textId="5163B8A5" w:rsidR="00C01DCB" w:rsidRDefault="00C01DCB">
      <w:r w:rsidRPr="00C01DCB">
        <w:rPr>
          <w:noProof/>
        </w:rPr>
        <w:drawing>
          <wp:inline distT="0" distB="0" distL="0" distR="0" wp14:anchorId="2F7AA52C" wp14:editId="76630FD8">
            <wp:extent cx="4320000" cy="2693658"/>
            <wp:effectExtent l="0" t="0" r="4445" b="0"/>
            <wp:docPr id="59" name="Picture 1">
              <a:extLst xmlns:a="http://schemas.openxmlformats.org/drawingml/2006/main">
                <a:ext uri="{FF2B5EF4-FFF2-40B4-BE49-F238E27FC236}">
                  <a16:creationId xmlns:a16="http://schemas.microsoft.com/office/drawing/2014/main" id="{746BCFB9-BC3F-40F4-8E93-07B7AA2F5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6BCFB9-BC3F-40F4-8E93-07B7AA2F5F90}"/>
                        </a:ext>
                      </a:extLst>
                    </pic:cNvPr>
                    <pic:cNvPicPr>
                      <a:picLocks noChangeAspect="1"/>
                    </pic:cNvPicPr>
                  </pic:nvPicPr>
                  <pic:blipFill>
                    <a:blip r:embed="rId36"/>
                    <a:stretch>
                      <a:fillRect/>
                    </a:stretch>
                  </pic:blipFill>
                  <pic:spPr>
                    <a:xfrm>
                      <a:off x="0" y="0"/>
                      <a:ext cx="4320000" cy="2693658"/>
                    </a:xfrm>
                    <a:prstGeom prst="rect">
                      <a:avLst/>
                    </a:prstGeom>
                  </pic:spPr>
                </pic:pic>
              </a:graphicData>
            </a:graphic>
          </wp:inline>
        </w:drawing>
      </w:r>
    </w:p>
    <w:p w14:paraId="79AF706C" w14:textId="462C463C" w:rsidR="008447ED" w:rsidRDefault="008447ED">
      <w:r>
        <w:t>I have picked out another dacitic group in pale blue. These do not form a tight cluster, and are also likely to be a heterogeneous volcaniclastic.</w:t>
      </w:r>
    </w:p>
    <w:p w14:paraId="53E1EE81" w14:textId="1D87B0B1" w:rsidR="00C01DCB" w:rsidRDefault="00C01DCB"/>
    <w:p w14:paraId="79924A5E" w14:textId="57CCC102" w:rsidR="00C01DCB" w:rsidRDefault="00C01DCB">
      <w:r w:rsidRPr="00C01DCB">
        <w:rPr>
          <w:noProof/>
        </w:rPr>
        <w:lastRenderedPageBreak/>
        <w:drawing>
          <wp:inline distT="0" distB="0" distL="0" distR="0" wp14:anchorId="77B8C2B9" wp14:editId="2B4A2DD3">
            <wp:extent cx="4320000" cy="2693658"/>
            <wp:effectExtent l="0" t="0" r="4445" b="0"/>
            <wp:docPr id="62" name="Picture 1">
              <a:extLst xmlns:a="http://schemas.openxmlformats.org/drawingml/2006/main">
                <a:ext uri="{FF2B5EF4-FFF2-40B4-BE49-F238E27FC236}">
                  <a16:creationId xmlns:a16="http://schemas.microsoft.com/office/drawing/2014/main" id="{04E79493-2262-4165-9198-34E044C0D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4E79493-2262-4165-9198-34E044C0D241}"/>
                        </a:ext>
                      </a:extLst>
                    </pic:cNvPr>
                    <pic:cNvPicPr>
                      <a:picLocks noChangeAspect="1"/>
                    </pic:cNvPicPr>
                  </pic:nvPicPr>
                  <pic:blipFill>
                    <a:blip r:embed="rId37"/>
                    <a:stretch>
                      <a:fillRect/>
                    </a:stretch>
                  </pic:blipFill>
                  <pic:spPr>
                    <a:xfrm>
                      <a:off x="0" y="0"/>
                      <a:ext cx="4320000" cy="2693658"/>
                    </a:xfrm>
                    <a:prstGeom prst="rect">
                      <a:avLst/>
                    </a:prstGeom>
                  </pic:spPr>
                </pic:pic>
              </a:graphicData>
            </a:graphic>
          </wp:inline>
        </w:drawing>
      </w:r>
    </w:p>
    <w:p w14:paraId="73FFDA5E" w14:textId="77777777" w:rsidR="00A347A2" w:rsidRDefault="008447ED">
      <w:r>
        <w:t>The remaining points are diorites. On the Sc vs Th plot, these appear to be bimodal. I have split them into Diorite1 (red) and Diorite2 (pink).</w:t>
      </w:r>
    </w:p>
    <w:p w14:paraId="5749AFC0" w14:textId="77777777" w:rsidR="00A347A2" w:rsidRDefault="00A347A2">
      <w:r>
        <w:t>Go back to the full array of scatterplots; Sc versus Th, Ti, V, P, Nb and Cr. Check that the colour groupings defined on the Sc vs Th plot is consistent on all the other scatterplots. Where required, adjust the colour groupings to make sure there is consistency between all plots.</w:t>
      </w:r>
    </w:p>
    <w:p w14:paraId="65153CE5" w14:textId="7313A763" w:rsidR="008447ED" w:rsidRPr="00A347A2" w:rsidRDefault="00A347A2">
      <w:pPr>
        <w:rPr>
          <w:b/>
          <w:bCs/>
        </w:rPr>
      </w:pPr>
      <w:r w:rsidRPr="00A347A2">
        <w:rPr>
          <w:b/>
          <w:bCs/>
        </w:rPr>
        <w:t xml:space="preserve">Note; in nearly all data sets, it will be some degree of overlap in the geochemical populations. Some points will always be ambiguous. The data used for this workshop is an example where the geochemical distinctions are quite obvious.  </w:t>
      </w:r>
      <w:r w:rsidR="008447ED" w:rsidRPr="00A347A2">
        <w:rPr>
          <w:b/>
          <w:bCs/>
        </w:rPr>
        <w:t xml:space="preserve"> </w:t>
      </w:r>
    </w:p>
    <w:p w14:paraId="6BDAC80D" w14:textId="31C5B0A9" w:rsidR="00C01DCB" w:rsidRDefault="00C01DCB"/>
    <w:p w14:paraId="081714D8" w14:textId="71DC4546" w:rsidR="00C01DCB" w:rsidRDefault="00C01DCB">
      <w:r w:rsidRPr="00C01DCB">
        <w:rPr>
          <w:noProof/>
        </w:rPr>
        <w:drawing>
          <wp:inline distT="0" distB="0" distL="0" distR="0" wp14:anchorId="78A8C8C9" wp14:editId="55B4CA9E">
            <wp:extent cx="5731510" cy="2478405"/>
            <wp:effectExtent l="0" t="0" r="2540" b="0"/>
            <wp:docPr id="63" name="Picture 1">
              <a:extLst xmlns:a="http://schemas.openxmlformats.org/drawingml/2006/main">
                <a:ext uri="{FF2B5EF4-FFF2-40B4-BE49-F238E27FC236}">
                  <a16:creationId xmlns:a16="http://schemas.microsoft.com/office/drawing/2014/main" id="{A491BE10-62EA-46AC-91C9-F0B0FCCD1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91BE10-62EA-46AC-91C9-F0B0FCCD127E}"/>
                        </a:ext>
                      </a:extLst>
                    </pic:cNvPr>
                    <pic:cNvPicPr>
                      <a:picLocks noChangeAspect="1"/>
                    </pic:cNvPicPr>
                  </pic:nvPicPr>
                  <pic:blipFill>
                    <a:blip r:embed="rId38"/>
                    <a:stretch>
                      <a:fillRect/>
                    </a:stretch>
                  </pic:blipFill>
                  <pic:spPr>
                    <a:xfrm>
                      <a:off x="0" y="0"/>
                      <a:ext cx="5731510" cy="2478405"/>
                    </a:xfrm>
                    <a:prstGeom prst="rect">
                      <a:avLst/>
                    </a:prstGeom>
                  </pic:spPr>
                </pic:pic>
              </a:graphicData>
            </a:graphic>
          </wp:inline>
        </w:drawing>
      </w:r>
    </w:p>
    <w:p w14:paraId="2A5A7E26" w14:textId="6986DD8F" w:rsidR="00C01DCB" w:rsidRDefault="00C01DCB"/>
    <w:p w14:paraId="75EEB739" w14:textId="7620D9B3" w:rsidR="00344C9A" w:rsidRDefault="00344C9A">
      <w:r>
        <w:t xml:space="preserve">The test to see if you have picked </w:t>
      </w:r>
      <w:r w:rsidR="000A1B96">
        <w:t>real geological units is to plot the data as a map or section and observe whether the spatial distribution of the colour groupings makes geological sense. With this data, use the Attribute 3D icon to open the 3D viewer. Rotate the data points until they are disp</w:t>
      </w:r>
      <w:r w:rsidR="002413D1">
        <w:t>l</w:t>
      </w:r>
      <w:r w:rsidR="000A1B96">
        <w:t>ayed in a cross section view.</w:t>
      </w:r>
    </w:p>
    <w:p w14:paraId="2817AEDF" w14:textId="50BA3F98" w:rsidR="000A1B96" w:rsidRDefault="000A1B96">
      <w:r w:rsidRPr="000A1B96">
        <w:rPr>
          <w:noProof/>
        </w:rPr>
        <w:lastRenderedPageBreak/>
        <w:drawing>
          <wp:inline distT="0" distB="0" distL="0" distR="0" wp14:anchorId="44A288FB" wp14:editId="795AEC06">
            <wp:extent cx="5731510" cy="9086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908685"/>
                    </a:xfrm>
                    <a:prstGeom prst="rect">
                      <a:avLst/>
                    </a:prstGeom>
                  </pic:spPr>
                </pic:pic>
              </a:graphicData>
            </a:graphic>
          </wp:inline>
        </w:drawing>
      </w:r>
    </w:p>
    <w:p w14:paraId="14269B70" w14:textId="184EA313" w:rsidR="000A1B96" w:rsidRDefault="000A1B96"/>
    <w:p w14:paraId="1BD2C5B4" w14:textId="1478D776" w:rsidR="000A1B96" w:rsidRDefault="000A1B96">
      <w:r w:rsidRPr="000A1B96">
        <w:rPr>
          <w:noProof/>
        </w:rPr>
        <w:drawing>
          <wp:inline distT="0" distB="0" distL="0" distR="0" wp14:anchorId="180E9FFD" wp14:editId="54C49444">
            <wp:extent cx="4320000" cy="2959291"/>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2959291"/>
                    </a:xfrm>
                    <a:prstGeom prst="rect">
                      <a:avLst/>
                    </a:prstGeom>
                  </pic:spPr>
                </pic:pic>
              </a:graphicData>
            </a:graphic>
          </wp:inline>
        </w:drawing>
      </w:r>
    </w:p>
    <w:p w14:paraId="7AEE8CC6" w14:textId="4BDD39D9" w:rsidR="000A1B96" w:rsidRDefault="000A1B96">
      <w:r>
        <w:t>On this section, there are units that can be correlated from hole to hole and clearly define flat-lying volcaniclastic units, and others that are likely to be steeply-plunging stocks.</w:t>
      </w:r>
    </w:p>
    <w:p w14:paraId="21278E9C" w14:textId="77777777" w:rsidR="000A1B96" w:rsidRDefault="000A1B96"/>
    <w:p w14:paraId="1DE25766" w14:textId="1613A21B" w:rsidR="00C01DCB" w:rsidRDefault="00C01DCB">
      <w:r w:rsidRPr="00C01DCB">
        <w:rPr>
          <w:noProof/>
        </w:rPr>
        <w:drawing>
          <wp:inline distT="0" distB="0" distL="0" distR="0" wp14:anchorId="1286115C" wp14:editId="1D8FE0A5">
            <wp:extent cx="4320000" cy="2693658"/>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2693658"/>
                    </a:xfrm>
                    <a:prstGeom prst="rect">
                      <a:avLst/>
                    </a:prstGeom>
                  </pic:spPr>
                </pic:pic>
              </a:graphicData>
            </a:graphic>
          </wp:inline>
        </w:drawing>
      </w:r>
    </w:p>
    <w:p w14:paraId="0A3EB1DD" w14:textId="38C7F58A" w:rsidR="00AE5ADA" w:rsidRDefault="00AE5ADA">
      <w:r>
        <w:t xml:space="preserve">There are still more minor units that can be picked out from the data in this tutorial. In the Sc versus Th plot above there are a small number of points in the ellipse, coloured khaki. This is a subset of the mafic rocks. </w:t>
      </w:r>
    </w:p>
    <w:p w14:paraId="102EC929" w14:textId="32D39D78" w:rsidR="00CF2D89" w:rsidRDefault="00CF2D89"/>
    <w:p w14:paraId="7B4CDDFB" w14:textId="63AB44CF" w:rsidR="00C01DCB" w:rsidRDefault="00C01DCB">
      <w:r w:rsidRPr="00C01DCB">
        <w:rPr>
          <w:noProof/>
        </w:rPr>
        <w:lastRenderedPageBreak/>
        <w:drawing>
          <wp:inline distT="0" distB="0" distL="0" distR="0" wp14:anchorId="32970F0F" wp14:editId="45621049">
            <wp:extent cx="4320000" cy="2693658"/>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2693658"/>
                    </a:xfrm>
                    <a:prstGeom prst="rect">
                      <a:avLst/>
                    </a:prstGeom>
                  </pic:spPr>
                </pic:pic>
              </a:graphicData>
            </a:graphic>
          </wp:inline>
        </w:drawing>
      </w:r>
    </w:p>
    <w:p w14:paraId="3C7BAE17" w14:textId="0A4A576B" w:rsidR="00C01DCB" w:rsidRDefault="00AE5ADA">
      <w:r>
        <w:t>In the Sc versus Ti plot above, there is another subset of the mafic rocks in the ellipse, in dark green. Create these 2 new colour groups and again view these spatially using the 3D viewer. If this was data from your own project area, it would be wise to go back to the drill core and see if you can recognise the different chemical groups in the core.</w:t>
      </w:r>
    </w:p>
    <w:p w14:paraId="0B4E7A25" w14:textId="0F4C21BA" w:rsidR="00C01DCB" w:rsidRDefault="00C01DCB">
      <w:r w:rsidRPr="00C01DCB">
        <w:rPr>
          <w:noProof/>
        </w:rPr>
        <w:drawing>
          <wp:inline distT="0" distB="0" distL="0" distR="0" wp14:anchorId="08D45D4D" wp14:editId="7E1BE5CF">
            <wp:extent cx="4320000" cy="2693658"/>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2693658"/>
                    </a:xfrm>
                    <a:prstGeom prst="rect">
                      <a:avLst/>
                    </a:prstGeom>
                  </pic:spPr>
                </pic:pic>
              </a:graphicData>
            </a:graphic>
          </wp:inline>
        </w:drawing>
      </w:r>
    </w:p>
    <w:p w14:paraId="76B682DB" w14:textId="725A27AE" w:rsidR="00AE5ADA" w:rsidRDefault="00AE5ADA">
      <w:r>
        <w:t>There are also different populations in the diorites. In the Sc versus Th plot above I have selected a magenta coloured population but there might be better ways to subdivide the porphyry groups.</w:t>
      </w:r>
    </w:p>
    <w:p w14:paraId="753B4A62" w14:textId="014AF1EA" w:rsidR="00C01DCB" w:rsidRDefault="00C01DCB"/>
    <w:p w14:paraId="332F3C94" w14:textId="07B12ADC" w:rsidR="00C01DCB" w:rsidRDefault="00C01DCB">
      <w:r w:rsidRPr="00C01DCB">
        <w:rPr>
          <w:noProof/>
        </w:rPr>
        <w:lastRenderedPageBreak/>
        <w:drawing>
          <wp:inline distT="0" distB="0" distL="0" distR="0" wp14:anchorId="5C051F17" wp14:editId="0F82EA4F">
            <wp:extent cx="5731510" cy="2478405"/>
            <wp:effectExtent l="0" t="0" r="2540" b="0"/>
            <wp:docPr id="71" name="Picture 1">
              <a:extLst xmlns:a="http://schemas.openxmlformats.org/drawingml/2006/main">
                <a:ext uri="{FF2B5EF4-FFF2-40B4-BE49-F238E27FC236}">
                  <a16:creationId xmlns:a16="http://schemas.microsoft.com/office/drawing/2014/main" id="{D07322DA-CE17-4C7F-824E-958E0DE6D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07322DA-CE17-4C7F-824E-958E0DE6DDBD}"/>
                        </a:ext>
                      </a:extLst>
                    </pic:cNvPr>
                    <pic:cNvPicPr>
                      <a:picLocks noChangeAspect="1"/>
                    </pic:cNvPicPr>
                  </pic:nvPicPr>
                  <pic:blipFill>
                    <a:blip r:embed="rId44"/>
                    <a:stretch>
                      <a:fillRect/>
                    </a:stretch>
                  </pic:blipFill>
                  <pic:spPr>
                    <a:xfrm>
                      <a:off x="0" y="0"/>
                      <a:ext cx="5731510" cy="2478405"/>
                    </a:xfrm>
                    <a:prstGeom prst="rect">
                      <a:avLst/>
                    </a:prstGeom>
                  </pic:spPr>
                </pic:pic>
              </a:graphicData>
            </a:graphic>
          </wp:inline>
        </w:drawing>
      </w:r>
    </w:p>
    <w:p w14:paraId="32C5FC16" w14:textId="5129F8F9" w:rsidR="00AE5ADA" w:rsidRDefault="00AE5ADA">
      <w:r>
        <w:t xml:space="preserve">Another check on the way you have classified the colour groupings is to make anther set of YX plots. Use the same list of elements, but move Ti to the top of the list. </w:t>
      </w:r>
      <w:r w:rsidR="00FD6439">
        <w:t>The colour groupings should again appear as coherent populations, and there is a possibility that other subsets within the data might be apparent.</w:t>
      </w:r>
    </w:p>
    <w:p w14:paraId="20ED5764" w14:textId="171F452C" w:rsidR="00C01DCB" w:rsidRDefault="00FD6439">
      <w:r w:rsidRPr="000A1B96">
        <w:rPr>
          <w:noProof/>
        </w:rPr>
        <w:drawing>
          <wp:inline distT="0" distB="0" distL="0" distR="0" wp14:anchorId="25AD7424" wp14:editId="0A4D43AD">
            <wp:extent cx="4320000" cy="2959291"/>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2959291"/>
                    </a:xfrm>
                    <a:prstGeom prst="rect">
                      <a:avLst/>
                    </a:prstGeom>
                  </pic:spPr>
                </pic:pic>
              </a:graphicData>
            </a:graphic>
          </wp:inline>
        </w:drawing>
      </w:r>
    </w:p>
    <w:p w14:paraId="259AAC05" w14:textId="1C469BDB" w:rsidR="00C01DCB" w:rsidRDefault="00C01DCB"/>
    <w:p w14:paraId="3B703138" w14:textId="0AC0C93A" w:rsidR="008C4733" w:rsidRDefault="008C4733" w:rsidP="008C4733">
      <w:pPr>
        <w:pStyle w:val="Heading2"/>
        <w:rPr>
          <w:color w:val="auto"/>
        </w:rPr>
      </w:pPr>
      <w:r w:rsidRPr="00440F5A">
        <w:rPr>
          <w:color w:val="auto"/>
        </w:rPr>
        <w:t>Magma Compositions</w:t>
      </w:r>
    </w:p>
    <w:p w14:paraId="59C46593" w14:textId="194C83F4" w:rsidR="008C4733" w:rsidRDefault="008C4733" w:rsidP="008C4733">
      <w:r>
        <w:t>The way these data points have been classified seems to make a coherent geological section, so the next step is to consider what the geochemical classifications can tell you about magmatic processes. Look at the V/Sc ratios to determine which Fe minerals have fractionated from these magmas. In the top row of the tool bar, click on Calculation, then New Calculation. In the dialogue box, use the plus button to open 3 rows. Select V_ppm and Sc_ppm as the 2 input columns. In the 3</w:t>
      </w:r>
      <w:r w:rsidRPr="00351AC6">
        <w:rPr>
          <w:vertAlign w:val="superscript"/>
        </w:rPr>
        <w:t>rd</w:t>
      </w:r>
      <w:r>
        <w:t xml:space="preserve"> row, the expression is A/B, to calculate V/Sc ratio, Then, </w:t>
      </w:r>
      <w:r w:rsidRPr="00351AC6">
        <w:rPr>
          <w:b/>
          <w:bCs/>
        </w:rPr>
        <w:t>Calculate All</w:t>
      </w:r>
      <w:r>
        <w:t>. V/Sc will appear as a new plotting variable. Select V/Sc and Sc as the plotting variables. Make a Yx plot.</w:t>
      </w:r>
    </w:p>
    <w:p w14:paraId="20F45DEF" w14:textId="77777777" w:rsidR="008C4733" w:rsidRPr="008C4733" w:rsidRDefault="008C4733" w:rsidP="008C4733"/>
    <w:p w14:paraId="5A1D0AF5" w14:textId="77777777" w:rsidR="008C4733" w:rsidRDefault="008C4733" w:rsidP="008C4733">
      <w:r w:rsidRPr="00E90B2A">
        <w:rPr>
          <w:noProof/>
        </w:rPr>
        <w:lastRenderedPageBreak/>
        <w:drawing>
          <wp:inline distT="0" distB="0" distL="0" distR="0" wp14:anchorId="26E5FD80" wp14:editId="603AEA85">
            <wp:extent cx="5731510" cy="34639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463925"/>
                    </a:xfrm>
                    <a:prstGeom prst="rect">
                      <a:avLst/>
                    </a:prstGeom>
                  </pic:spPr>
                </pic:pic>
              </a:graphicData>
            </a:graphic>
          </wp:inline>
        </w:drawing>
      </w:r>
    </w:p>
    <w:p w14:paraId="0021CA1C" w14:textId="441D48B3" w:rsidR="008C4733" w:rsidRDefault="00B644CA" w:rsidP="008C4733">
      <w:r w:rsidRPr="00C01DCB">
        <w:rPr>
          <w:noProof/>
        </w:rPr>
        <w:drawing>
          <wp:inline distT="0" distB="0" distL="0" distR="0" wp14:anchorId="51B62F19" wp14:editId="77D511EA">
            <wp:extent cx="5731510" cy="377888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778885"/>
                    </a:xfrm>
                    <a:prstGeom prst="rect">
                      <a:avLst/>
                    </a:prstGeom>
                  </pic:spPr>
                </pic:pic>
              </a:graphicData>
            </a:graphic>
          </wp:inline>
        </w:drawing>
      </w:r>
    </w:p>
    <w:p w14:paraId="327ADD42" w14:textId="2694714C" w:rsidR="00B644CA" w:rsidRPr="00B644CA" w:rsidRDefault="00B644CA" w:rsidP="008C4733">
      <w:pPr>
        <w:rPr>
          <w:b/>
          <w:bCs/>
        </w:rPr>
      </w:pPr>
      <w:r>
        <w:t xml:space="preserve">The yellow to pale blue to orange groups have fractionated magnetite, particularly the orange group. These are NOT porphyry Cu magmas. The red and pink groups have fractionated hornblende. The V/Sc is quite high, and the implication is that these are quite oxidized magmas, hence V is behaving in a more incompatible manner. </w:t>
      </w:r>
      <w:r w:rsidRPr="00B644CA">
        <w:rPr>
          <w:b/>
          <w:bCs/>
        </w:rPr>
        <w:t>For this data set, The V/Sc ratio plot clearly defines the porphyry Cu suite.</w:t>
      </w:r>
    </w:p>
    <w:p w14:paraId="42C9D5A7" w14:textId="77777777" w:rsidR="00B644CA" w:rsidRDefault="00B644CA" w:rsidP="00B644CA">
      <w:r>
        <w:t>Next, go to Diagram on the top toolbar, Provided, Porphyry Cu Exploration, Adakites, SrY vs Y.</w:t>
      </w:r>
    </w:p>
    <w:p w14:paraId="4E35192F" w14:textId="77777777" w:rsidR="008C4733" w:rsidRDefault="008C4733" w:rsidP="008C4733">
      <w:r w:rsidRPr="00440F5A">
        <w:rPr>
          <w:noProof/>
        </w:rPr>
        <w:lastRenderedPageBreak/>
        <w:drawing>
          <wp:inline distT="0" distB="0" distL="0" distR="0" wp14:anchorId="4F43D40C" wp14:editId="782AA121">
            <wp:extent cx="4320000" cy="2763536"/>
            <wp:effectExtent l="19050" t="19050" r="23495" b="17780"/>
            <wp:docPr id="17" name="Picture 1">
              <a:extLst xmlns:a="http://schemas.openxmlformats.org/drawingml/2006/main">
                <a:ext uri="{FF2B5EF4-FFF2-40B4-BE49-F238E27FC236}">
                  <a16:creationId xmlns:a16="http://schemas.microsoft.com/office/drawing/2014/main" id="{54CC8361-3C1C-49A5-82EA-567A4D81D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CC8361-3C1C-49A5-82EA-567A4D81DD33}"/>
                        </a:ext>
                      </a:extLst>
                    </pic:cNvPr>
                    <pic:cNvPicPr>
                      <a:picLocks noChangeAspect="1"/>
                    </pic:cNvPicPr>
                  </pic:nvPicPr>
                  <pic:blipFill rotWithShape="1">
                    <a:blip r:embed="rId47" cstate="hqprint">
                      <a:extLst>
                        <a:ext uri="{28A0092B-C50C-407E-A947-70E740481C1C}">
                          <a14:useLocalDpi xmlns:a14="http://schemas.microsoft.com/office/drawing/2010/main"/>
                        </a:ext>
                      </a:extLst>
                    </a:blip>
                    <a:srcRect/>
                    <a:stretch/>
                  </pic:blipFill>
                  <pic:spPr>
                    <a:xfrm>
                      <a:off x="0" y="0"/>
                      <a:ext cx="4320000" cy="2763536"/>
                    </a:xfrm>
                    <a:prstGeom prst="rect">
                      <a:avLst/>
                    </a:prstGeom>
                    <a:ln>
                      <a:solidFill>
                        <a:schemeClr val="tx1"/>
                      </a:solidFill>
                    </a:ln>
                  </pic:spPr>
                </pic:pic>
              </a:graphicData>
            </a:graphic>
          </wp:inline>
        </w:drawing>
      </w:r>
    </w:p>
    <w:p w14:paraId="57AD73C1" w14:textId="5534F3E3" w:rsidR="00C01DCB" w:rsidRDefault="00C01DCB"/>
    <w:p w14:paraId="6B7D24B4" w14:textId="7843E919" w:rsidR="00C01DCB" w:rsidRDefault="00C01DCB"/>
    <w:p w14:paraId="55B3D551" w14:textId="6B141437" w:rsidR="00C01DCB" w:rsidRDefault="00C01DCB"/>
    <w:p w14:paraId="7C588507" w14:textId="5416337F" w:rsidR="00C01DCB" w:rsidRDefault="00C01DCB">
      <w:r w:rsidRPr="00C01DCB">
        <w:rPr>
          <w:noProof/>
        </w:rPr>
        <w:drawing>
          <wp:inline distT="0" distB="0" distL="0" distR="0" wp14:anchorId="5954CAC4" wp14:editId="7CF1EE5A">
            <wp:extent cx="5731510" cy="3804285"/>
            <wp:effectExtent l="0" t="0" r="2540" b="5715"/>
            <wp:docPr id="74" name="Picture 1">
              <a:extLst xmlns:a="http://schemas.openxmlformats.org/drawingml/2006/main">
                <a:ext uri="{FF2B5EF4-FFF2-40B4-BE49-F238E27FC236}">
                  <a16:creationId xmlns:a16="http://schemas.microsoft.com/office/drawing/2014/main" id="{5F7A9414-F91C-4F71-8E5C-6D63B1222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F7A9414-F91C-4F71-8E5C-6D63B122242E}"/>
                        </a:ext>
                      </a:extLst>
                    </pic:cNvPr>
                    <pic:cNvPicPr>
                      <a:picLocks noChangeAspect="1"/>
                    </pic:cNvPicPr>
                  </pic:nvPicPr>
                  <pic:blipFill>
                    <a:blip r:embed="rId48"/>
                    <a:stretch>
                      <a:fillRect/>
                    </a:stretch>
                  </pic:blipFill>
                  <pic:spPr>
                    <a:xfrm>
                      <a:off x="0" y="0"/>
                      <a:ext cx="5731510" cy="3804285"/>
                    </a:xfrm>
                    <a:prstGeom prst="rect">
                      <a:avLst/>
                    </a:prstGeom>
                  </pic:spPr>
                </pic:pic>
              </a:graphicData>
            </a:graphic>
          </wp:inline>
        </w:drawing>
      </w:r>
    </w:p>
    <w:p w14:paraId="72C26214" w14:textId="2F472479" w:rsidR="00B644CA" w:rsidRDefault="00B644CA">
      <w:r>
        <w:t xml:space="preserve">The same high V/Sc suite of intrusions clearly stands out in this plot! </w:t>
      </w:r>
      <w:r w:rsidR="00A702B9">
        <w:t>These rocks are strongly altered and mineralized, but they contain hydrothermal feldspars and Sr is retained in anhydrite. Although this diagram is not supposed to work in altered rocks, here it does because the alteration has not been acidic.</w:t>
      </w:r>
    </w:p>
    <w:p w14:paraId="2AB1B341" w14:textId="5ECE7B46" w:rsidR="00C01DCB" w:rsidRDefault="00A702B9">
      <w:r>
        <w:lastRenderedPageBreak/>
        <w:t>The next thing to look for is evidence of titanite fractionation. The best plot to see this is Ti versus Nb.</w:t>
      </w:r>
      <w:r w:rsidR="00FC1941">
        <w:t xml:space="preserve"> The Cu porphyries have low Ti and low Nb values that form linear arrays projecting pack towards the origin. 2 to 4 ppm for both Nb and Th are typical ranges for porphyry magmas that have fractionated titanite, along with low La and Ce (LREE’s).</w:t>
      </w:r>
    </w:p>
    <w:p w14:paraId="09934978" w14:textId="20E461CC" w:rsidR="00C01DCB" w:rsidRDefault="00A702B9">
      <w:r w:rsidRPr="00A702B9">
        <w:rPr>
          <w:noProof/>
        </w:rPr>
        <w:drawing>
          <wp:inline distT="0" distB="0" distL="0" distR="0" wp14:anchorId="748883DB" wp14:editId="29BF5516">
            <wp:extent cx="4320000" cy="2698445"/>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20000" cy="2698445"/>
                    </a:xfrm>
                    <a:prstGeom prst="rect">
                      <a:avLst/>
                    </a:prstGeom>
                  </pic:spPr>
                </pic:pic>
              </a:graphicData>
            </a:graphic>
          </wp:inline>
        </w:drawing>
      </w:r>
    </w:p>
    <w:p w14:paraId="1C2E782C" w14:textId="3DC4EA34" w:rsidR="005A3E19" w:rsidRDefault="005A3E19"/>
    <w:p w14:paraId="4659ABE6" w14:textId="4006DB65" w:rsidR="005A3E19" w:rsidRDefault="005A3E19">
      <w:r w:rsidRPr="005A3E19">
        <w:rPr>
          <w:noProof/>
        </w:rPr>
        <w:drawing>
          <wp:inline distT="0" distB="0" distL="0" distR="0" wp14:anchorId="621B823D" wp14:editId="0D0C9EFA">
            <wp:extent cx="5731510" cy="247904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479040"/>
                    </a:xfrm>
                    <a:prstGeom prst="rect">
                      <a:avLst/>
                    </a:prstGeom>
                  </pic:spPr>
                </pic:pic>
              </a:graphicData>
            </a:graphic>
          </wp:inline>
        </w:drawing>
      </w:r>
    </w:p>
    <w:p w14:paraId="33964939" w14:textId="7E3C19C3" w:rsidR="00CF2D89" w:rsidRDefault="00E478BE">
      <w:r>
        <w:t>One last figure; this data table includes estimated SiO2 weight% values. Try plotting the immobile trace elements against SiO2.</w:t>
      </w:r>
    </w:p>
    <w:p w14:paraId="5D9D0F0E" w14:textId="77777777" w:rsidR="00E478BE" w:rsidRDefault="00E478BE" w:rsidP="00E478BE">
      <w:r>
        <w:t>To classify the alteration in ioGAS, we want to create a new colour legend and assign each analysis to a new colour group that describes the alteration signature in that sample. However, we still want to retain the interpretation of the rock compositions that we have just completed. In the top toolbar, click on Data, Make Variables From Colour. In the dialogue box that asks for a New Column Name for Colour, type in Composition, then click OK.</w:t>
      </w:r>
    </w:p>
    <w:p w14:paraId="6D576459" w14:textId="77777777" w:rsidR="00E478BE" w:rsidRPr="00614135" w:rsidRDefault="00E478BE" w:rsidP="00E478BE">
      <w:r w:rsidRPr="00614135">
        <w:rPr>
          <w:noProof/>
        </w:rPr>
        <w:lastRenderedPageBreak/>
        <w:drawing>
          <wp:inline distT="0" distB="0" distL="0" distR="0" wp14:anchorId="199AACD8" wp14:editId="5DE59F54">
            <wp:extent cx="5731510" cy="10160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016000"/>
                    </a:xfrm>
                    <a:prstGeom prst="rect">
                      <a:avLst/>
                    </a:prstGeom>
                  </pic:spPr>
                </pic:pic>
              </a:graphicData>
            </a:graphic>
          </wp:inline>
        </w:drawing>
      </w:r>
    </w:p>
    <w:p w14:paraId="4CB1A97C" w14:textId="77777777" w:rsidR="00E478BE" w:rsidRDefault="00E478BE" w:rsidP="00E478BE">
      <w:r>
        <w:t>If you click on the Data icon, ioGAS will display the data table. Scroll to the far right of the data table and you will see a new column named Composition_Text. This contains the name of the colour group that each assay interval was assigned to. Now is a good time to save a copy of the ioGAS file.</w:t>
      </w:r>
    </w:p>
    <w:p w14:paraId="56BFDD53" w14:textId="77777777" w:rsidR="00E478BE" w:rsidRDefault="00E478BE" w:rsidP="00E478BE">
      <w:r w:rsidRPr="005E5E9C">
        <w:rPr>
          <w:noProof/>
        </w:rPr>
        <w:drawing>
          <wp:inline distT="0" distB="0" distL="0" distR="0" wp14:anchorId="4D1E3095" wp14:editId="1A3AA085">
            <wp:extent cx="2520000" cy="10931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20000" cy="1093181"/>
                    </a:xfrm>
                    <a:prstGeom prst="rect">
                      <a:avLst/>
                    </a:prstGeom>
                  </pic:spPr>
                </pic:pic>
              </a:graphicData>
            </a:graphic>
          </wp:inline>
        </w:drawing>
      </w:r>
    </w:p>
    <w:p w14:paraId="62B53AC9" w14:textId="77777777" w:rsidR="00E478BE" w:rsidRDefault="00E478BE"/>
    <w:p w14:paraId="2A6DF5F2" w14:textId="77777777" w:rsidR="009C4AB4" w:rsidRDefault="00FC1E99" w:rsidP="0086336B">
      <w:r>
        <w:t xml:space="preserve">                                              </w:t>
      </w:r>
    </w:p>
    <w:p w14:paraId="0AE27933" w14:textId="77777777" w:rsidR="009C4AB4" w:rsidRDefault="009C4AB4" w:rsidP="0086336B"/>
    <w:p w14:paraId="7EAF39A0" w14:textId="6AE29875" w:rsidR="009C4AB4" w:rsidRDefault="009C4AB4"/>
    <w:sectPr w:rsidR="009C4A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B5BB7"/>
    <w:multiLevelType w:val="hybridMultilevel"/>
    <w:tmpl w:val="6CB4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B86E7A"/>
    <w:multiLevelType w:val="hybridMultilevel"/>
    <w:tmpl w:val="FE862118"/>
    <w:lvl w:ilvl="0" w:tplc="E5B4CF5E">
      <w:start w:val="1"/>
      <w:numFmt w:val="bullet"/>
      <w:lvlText w:val="•"/>
      <w:lvlJc w:val="left"/>
      <w:pPr>
        <w:tabs>
          <w:tab w:val="num" w:pos="720"/>
        </w:tabs>
        <w:ind w:left="720" w:hanging="360"/>
      </w:pPr>
      <w:rPr>
        <w:rFonts w:ascii="Arial" w:hAnsi="Arial" w:hint="default"/>
      </w:rPr>
    </w:lvl>
    <w:lvl w:ilvl="1" w:tplc="EA5A01CA" w:tentative="1">
      <w:start w:val="1"/>
      <w:numFmt w:val="bullet"/>
      <w:lvlText w:val="•"/>
      <w:lvlJc w:val="left"/>
      <w:pPr>
        <w:tabs>
          <w:tab w:val="num" w:pos="1440"/>
        </w:tabs>
        <w:ind w:left="1440" w:hanging="360"/>
      </w:pPr>
      <w:rPr>
        <w:rFonts w:ascii="Arial" w:hAnsi="Arial" w:hint="default"/>
      </w:rPr>
    </w:lvl>
    <w:lvl w:ilvl="2" w:tplc="E8AC9FE8" w:tentative="1">
      <w:start w:val="1"/>
      <w:numFmt w:val="bullet"/>
      <w:lvlText w:val="•"/>
      <w:lvlJc w:val="left"/>
      <w:pPr>
        <w:tabs>
          <w:tab w:val="num" w:pos="2160"/>
        </w:tabs>
        <w:ind w:left="2160" w:hanging="360"/>
      </w:pPr>
      <w:rPr>
        <w:rFonts w:ascii="Arial" w:hAnsi="Arial" w:hint="default"/>
      </w:rPr>
    </w:lvl>
    <w:lvl w:ilvl="3" w:tplc="FA7616D6" w:tentative="1">
      <w:start w:val="1"/>
      <w:numFmt w:val="bullet"/>
      <w:lvlText w:val="•"/>
      <w:lvlJc w:val="left"/>
      <w:pPr>
        <w:tabs>
          <w:tab w:val="num" w:pos="2880"/>
        </w:tabs>
        <w:ind w:left="2880" w:hanging="360"/>
      </w:pPr>
      <w:rPr>
        <w:rFonts w:ascii="Arial" w:hAnsi="Arial" w:hint="default"/>
      </w:rPr>
    </w:lvl>
    <w:lvl w:ilvl="4" w:tplc="75C8D3EC" w:tentative="1">
      <w:start w:val="1"/>
      <w:numFmt w:val="bullet"/>
      <w:lvlText w:val="•"/>
      <w:lvlJc w:val="left"/>
      <w:pPr>
        <w:tabs>
          <w:tab w:val="num" w:pos="3600"/>
        </w:tabs>
        <w:ind w:left="3600" w:hanging="360"/>
      </w:pPr>
      <w:rPr>
        <w:rFonts w:ascii="Arial" w:hAnsi="Arial" w:hint="default"/>
      </w:rPr>
    </w:lvl>
    <w:lvl w:ilvl="5" w:tplc="B4F6DFA8" w:tentative="1">
      <w:start w:val="1"/>
      <w:numFmt w:val="bullet"/>
      <w:lvlText w:val="•"/>
      <w:lvlJc w:val="left"/>
      <w:pPr>
        <w:tabs>
          <w:tab w:val="num" w:pos="4320"/>
        </w:tabs>
        <w:ind w:left="4320" w:hanging="360"/>
      </w:pPr>
      <w:rPr>
        <w:rFonts w:ascii="Arial" w:hAnsi="Arial" w:hint="default"/>
      </w:rPr>
    </w:lvl>
    <w:lvl w:ilvl="6" w:tplc="ED2A1350" w:tentative="1">
      <w:start w:val="1"/>
      <w:numFmt w:val="bullet"/>
      <w:lvlText w:val="•"/>
      <w:lvlJc w:val="left"/>
      <w:pPr>
        <w:tabs>
          <w:tab w:val="num" w:pos="5040"/>
        </w:tabs>
        <w:ind w:left="5040" w:hanging="360"/>
      </w:pPr>
      <w:rPr>
        <w:rFonts w:ascii="Arial" w:hAnsi="Arial" w:hint="default"/>
      </w:rPr>
    </w:lvl>
    <w:lvl w:ilvl="7" w:tplc="56B4B1E6" w:tentative="1">
      <w:start w:val="1"/>
      <w:numFmt w:val="bullet"/>
      <w:lvlText w:val="•"/>
      <w:lvlJc w:val="left"/>
      <w:pPr>
        <w:tabs>
          <w:tab w:val="num" w:pos="5760"/>
        </w:tabs>
        <w:ind w:left="5760" w:hanging="360"/>
      </w:pPr>
      <w:rPr>
        <w:rFonts w:ascii="Arial" w:hAnsi="Arial" w:hint="default"/>
      </w:rPr>
    </w:lvl>
    <w:lvl w:ilvl="8" w:tplc="612A14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3F40C1"/>
    <w:multiLevelType w:val="hybridMultilevel"/>
    <w:tmpl w:val="CCAA187E"/>
    <w:lvl w:ilvl="0" w:tplc="DD1649DE">
      <w:start w:val="1"/>
      <w:numFmt w:val="bullet"/>
      <w:lvlText w:val="•"/>
      <w:lvlJc w:val="left"/>
      <w:pPr>
        <w:tabs>
          <w:tab w:val="num" w:pos="720"/>
        </w:tabs>
        <w:ind w:left="720" w:hanging="360"/>
      </w:pPr>
      <w:rPr>
        <w:rFonts w:ascii="Arial" w:hAnsi="Arial" w:hint="default"/>
      </w:rPr>
    </w:lvl>
    <w:lvl w:ilvl="1" w:tplc="412EF468" w:tentative="1">
      <w:start w:val="1"/>
      <w:numFmt w:val="bullet"/>
      <w:lvlText w:val="•"/>
      <w:lvlJc w:val="left"/>
      <w:pPr>
        <w:tabs>
          <w:tab w:val="num" w:pos="1440"/>
        </w:tabs>
        <w:ind w:left="1440" w:hanging="360"/>
      </w:pPr>
      <w:rPr>
        <w:rFonts w:ascii="Arial" w:hAnsi="Arial" w:hint="default"/>
      </w:rPr>
    </w:lvl>
    <w:lvl w:ilvl="2" w:tplc="E5F0BF22" w:tentative="1">
      <w:start w:val="1"/>
      <w:numFmt w:val="bullet"/>
      <w:lvlText w:val="•"/>
      <w:lvlJc w:val="left"/>
      <w:pPr>
        <w:tabs>
          <w:tab w:val="num" w:pos="2160"/>
        </w:tabs>
        <w:ind w:left="2160" w:hanging="360"/>
      </w:pPr>
      <w:rPr>
        <w:rFonts w:ascii="Arial" w:hAnsi="Arial" w:hint="default"/>
      </w:rPr>
    </w:lvl>
    <w:lvl w:ilvl="3" w:tplc="0B28793A" w:tentative="1">
      <w:start w:val="1"/>
      <w:numFmt w:val="bullet"/>
      <w:lvlText w:val="•"/>
      <w:lvlJc w:val="left"/>
      <w:pPr>
        <w:tabs>
          <w:tab w:val="num" w:pos="2880"/>
        </w:tabs>
        <w:ind w:left="2880" w:hanging="360"/>
      </w:pPr>
      <w:rPr>
        <w:rFonts w:ascii="Arial" w:hAnsi="Arial" w:hint="default"/>
      </w:rPr>
    </w:lvl>
    <w:lvl w:ilvl="4" w:tplc="490830F4" w:tentative="1">
      <w:start w:val="1"/>
      <w:numFmt w:val="bullet"/>
      <w:lvlText w:val="•"/>
      <w:lvlJc w:val="left"/>
      <w:pPr>
        <w:tabs>
          <w:tab w:val="num" w:pos="3600"/>
        </w:tabs>
        <w:ind w:left="3600" w:hanging="360"/>
      </w:pPr>
      <w:rPr>
        <w:rFonts w:ascii="Arial" w:hAnsi="Arial" w:hint="default"/>
      </w:rPr>
    </w:lvl>
    <w:lvl w:ilvl="5" w:tplc="8A36D3EC" w:tentative="1">
      <w:start w:val="1"/>
      <w:numFmt w:val="bullet"/>
      <w:lvlText w:val="•"/>
      <w:lvlJc w:val="left"/>
      <w:pPr>
        <w:tabs>
          <w:tab w:val="num" w:pos="4320"/>
        </w:tabs>
        <w:ind w:left="4320" w:hanging="360"/>
      </w:pPr>
      <w:rPr>
        <w:rFonts w:ascii="Arial" w:hAnsi="Arial" w:hint="default"/>
      </w:rPr>
    </w:lvl>
    <w:lvl w:ilvl="6" w:tplc="B3A202E0" w:tentative="1">
      <w:start w:val="1"/>
      <w:numFmt w:val="bullet"/>
      <w:lvlText w:val="•"/>
      <w:lvlJc w:val="left"/>
      <w:pPr>
        <w:tabs>
          <w:tab w:val="num" w:pos="5040"/>
        </w:tabs>
        <w:ind w:left="5040" w:hanging="360"/>
      </w:pPr>
      <w:rPr>
        <w:rFonts w:ascii="Arial" w:hAnsi="Arial" w:hint="default"/>
      </w:rPr>
    </w:lvl>
    <w:lvl w:ilvl="7" w:tplc="C7E675FC" w:tentative="1">
      <w:start w:val="1"/>
      <w:numFmt w:val="bullet"/>
      <w:lvlText w:val="•"/>
      <w:lvlJc w:val="left"/>
      <w:pPr>
        <w:tabs>
          <w:tab w:val="num" w:pos="5760"/>
        </w:tabs>
        <w:ind w:left="5760" w:hanging="360"/>
      </w:pPr>
      <w:rPr>
        <w:rFonts w:ascii="Arial" w:hAnsi="Arial" w:hint="default"/>
      </w:rPr>
    </w:lvl>
    <w:lvl w:ilvl="8" w:tplc="C15A44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FD3D12"/>
    <w:multiLevelType w:val="hybridMultilevel"/>
    <w:tmpl w:val="1E00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525CFA"/>
    <w:multiLevelType w:val="hybridMultilevel"/>
    <w:tmpl w:val="5718CB90"/>
    <w:lvl w:ilvl="0" w:tplc="DDDCD012">
      <w:start w:val="1"/>
      <w:numFmt w:val="bullet"/>
      <w:lvlText w:val="•"/>
      <w:lvlJc w:val="left"/>
      <w:pPr>
        <w:tabs>
          <w:tab w:val="num" w:pos="720"/>
        </w:tabs>
        <w:ind w:left="720" w:hanging="360"/>
      </w:pPr>
      <w:rPr>
        <w:rFonts w:ascii="Arial" w:hAnsi="Arial" w:hint="default"/>
      </w:rPr>
    </w:lvl>
    <w:lvl w:ilvl="1" w:tplc="B806610E" w:tentative="1">
      <w:start w:val="1"/>
      <w:numFmt w:val="bullet"/>
      <w:lvlText w:val="•"/>
      <w:lvlJc w:val="left"/>
      <w:pPr>
        <w:tabs>
          <w:tab w:val="num" w:pos="1440"/>
        </w:tabs>
        <w:ind w:left="1440" w:hanging="360"/>
      </w:pPr>
      <w:rPr>
        <w:rFonts w:ascii="Arial" w:hAnsi="Arial" w:hint="default"/>
      </w:rPr>
    </w:lvl>
    <w:lvl w:ilvl="2" w:tplc="E5A0BCC0" w:tentative="1">
      <w:start w:val="1"/>
      <w:numFmt w:val="bullet"/>
      <w:lvlText w:val="•"/>
      <w:lvlJc w:val="left"/>
      <w:pPr>
        <w:tabs>
          <w:tab w:val="num" w:pos="2160"/>
        </w:tabs>
        <w:ind w:left="2160" w:hanging="360"/>
      </w:pPr>
      <w:rPr>
        <w:rFonts w:ascii="Arial" w:hAnsi="Arial" w:hint="default"/>
      </w:rPr>
    </w:lvl>
    <w:lvl w:ilvl="3" w:tplc="9CF85BD2" w:tentative="1">
      <w:start w:val="1"/>
      <w:numFmt w:val="bullet"/>
      <w:lvlText w:val="•"/>
      <w:lvlJc w:val="left"/>
      <w:pPr>
        <w:tabs>
          <w:tab w:val="num" w:pos="2880"/>
        </w:tabs>
        <w:ind w:left="2880" w:hanging="360"/>
      </w:pPr>
      <w:rPr>
        <w:rFonts w:ascii="Arial" w:hAnsi="Arial" w:hint="default"/>
      </w:rPr>
    </w:lvl>
    <w:lvl w:ilvl="4" w:tplc="EB9EAA58" w:tentative="1">
      <w:start w:val="1"/>
      <w:numFmt w:val="bullet"/>
      <w:lvlText w:val="•"/>
      <w:lvlJc w:val="left"/>
      <w:pPr>
        <w:tabs>
          <w:tab w:val="num" w:pos="3600"/>
        </w:tabs>
        <w:ind w:left="3600" w:hanging="360"/>
      </w:pPr>
      <w:rPr>
        <w:rFonts w:ascii="Arial" w:hAnsi="Arial" w:hint="default"/>
      </w:rPr>
    </w:lvl>
    <w:lvl w:ilvl="5" w:tplc="6666E5D4" w:tentative="1">
      <w:start w:val="1"/>
      <w:numFmt w:val="bullet"/>
      <w:lvlText w:val="•"/>
      <w:lvlJc w:val="left"/>
      <w:pPr>
        <w:tabs>
          <w:tab w:val="num" w:pos="4320"/>
        </w:tabs>
        <w:ind w:left="4320" w:hanging="360"/>
      </w:pPr>
      <w:rPr>
        <w:rFonts w:ascii="Arial" w:hAnsi="Arial" w:hint="default"/>
      </w:rPr>
    </w:lvl>
    <w:lvl w:ilvl="6" w:tplc="A8F68588" w:tentative="1">
      <w:start w:val="1"/>
      <w:numFmt w:val="bullet"/>
      <w:lvlText w:val="•"/>
      <w:lvlJc w:val="left"/>
      <w:pPr>
        <w:tabs>
          <w:tab w:val="num" w:pos="5040"/>
        </w:tabs>
        <w:ind w:left="5040" w:hanging="360"/>
      </w:pPr>
      <w:rPr>
        <w:rFonts w:ascii="Arial" w:hAnsi="Arial" w:hint="default"/>
      </w:rPr>
    </w:lvl>
    <w:lvl w:ilvl="7" w:tplc="1464B0FA" w:tentative="1">
      <w:start w:val="1"/>
      <w:numFmt w:val="bullet"/>
      <w:lvlText w:val="•"/>
      <w:lvlJc w:val="left"/>
      <w:pPr>
        <w:tabs>
          <w:tab w:val="num" w:pos="5760"/>
        </w:tabs>
        <w:ind w:left="5760" w:hanging="360"/>
      </w:pPr>
      <w:rPr>
        <w:rFonts w:ascii="Arial" w:hAnsi="Arial" w:hint="default"/>
      </w:rPr>
    </w:lvl>
    <w:lvl w:ilvl="8" w:tplc="FD322A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F46F68"/>
    <w:multiLevelType w:val="hybridMultilevel"/>
    <w:tmpl w:val="7FDC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6B"/>
    <w:rsid w:val="00002469"/>
    <w:rsid w:val="00010ADE"/>
    <w:rsid w:val="000114A0"/>
    <w:rsid w:val="00025A15"/>
    <w:rsid w:val="000724B3"/>
    <w:rsid w:val="00096DA3"/>
    <w:rsid w:val="00097238"/>
    <w:rsid w:val="000A1B96"/>
    <w:rsid w:val="000B4FC4"/>
    <w:rsid w:val="000E3284"/>
    <w:rsid w:val="001108D8"/>
    <w:rsid w:val="00122703"/>
    <w:rsid w:val="0012287E"/>
    <w:rsid w:val="0012652C"/>
    <w:rsid w:val="00177356"/>
    <w:rsid w:val="001D3A4E"/>
    <w:rsid w:val="001E0E3E"/>
    <w:rsid w:val="001E398E"/>
    <w:rsid w:val="001F24FB"/>
    <w:rsid w:val="0020421F"/>
    <w:rsid w:val="002413D1"/>
    <w:rsid w:val="00256BB7"/>
    <w:rsid w:val="00260BFD"/>
    <w:rsid w:val="002655F0"/>
    <w:rsid w:val="00285ADE"/>
    <w:rsid w:val="002A3F60"/>
    <w:rsid w:val="002A5CD5"/>
    <w:rsid w:val="002A6919"/>
    <w:rsid w:val="002A7D65"/>
    <w:rsid w:val="002C77F0"/>
    <w:rsid w:val="002D79F6"/>
    <w:rsid w:val="002E0EF2"/>
    <w:rsid w:val="002F4FDC"/>
    <w:rsid w:val="002F7447"/>
    <w:rsid w:val="00323755"/>
    <w:rsid w:val="00344C9A"/>
    <w:rsid w:val="00351AC6"/>
    <w:rsid w:val="00362878"/>
    <w:rsid w:val="003629A5"/>
    <w:rsid w:val="00386C7B"/>
    <w:rsid w:val="003C202B"/>
    <w:rsid w:val="003C2AF7"/>
    <w:rsid w:val="003C2ED7"/>
    <w:rsid w:val="003E1B8C"/>
    <w:rsid w:val="003E23CB"/>
    <w:rsid w:val="00411334"/>
    <w:rsid w:val="00413955"/>
    <w:rsid w:val="004140A6"/>
    <w:rsid w:val="00416526"/>
    <w:rsid w:val="00416920"/>
    <w:rsid w:val="00437E8F"/>
    <w:rsid w:val="00440F5A"/>
    <w:rsid w:val="00457C19"/>
    <w:rsid w:val="0047025F"/>
    <w:rsid w:val="004B6510"/>
    <w:rsid w:val="004B7691"/>
    <w:rsid w:val="004D1183"/>
    <w:rsid w:val="004D763B"/>
    <w:rsid w:val="004E4109"/>
    <w:rsid w:val="005037AF"/>
    <w:rsid w:val="005264A4"/>
    <w:rsid w:val="0053331A"/>
    <w:rsid w:val="005357F4"/>
    <w:rsid w:val="0055484F"/>
    <w:rsid w:val="005658CD"/>
    <w:rsid w:val="0059000E"/>
    <w:rsid w:val="005905A3"/>
    <w:rsid w:val="005A3E19"/>
    <w:rsid w:val="005B5296"/>
    <w:rsid w:val="005C46C9"/>
    <w:rsid w:val="005E2471"/>
    <w:rsid w:val="005E5E9C"/>
    <w:rsid w:val="00614135"/>
    <w:rsid w:val="006302E6"/>
    <w:rsid w:val="00636CD2"/>
    <w:rsid w:val="00656439"/>
    <w:rsid w:val="0066039C"/>
    <w:rsid w:val="00685103"/>
    <w:rsid w:val="006C5421"/>
    <w:rsid w:val="006C59AA"/>
    <w:rsid w:val="007053BE"/>
    <w:rsid w:val="007117C2"/>
    <w:rsid w:val="00722651"/>
    <w:rsid w:val="00747FB7"/>
    <w:rsid w:val="0075757C"/>
    <w:rsid w:val="00764E8D"/>
    <w:rsid w:val="00772B28"/>
    <w:rsid w:val="007809E4"/>
    <w:rsid w:val="00793A6F"/>
    <w:rsid w:val="007A7E66"/>
    <w:rsid w:val="007E6240"/>
    <w:rsid w:val="00812C75"/>
    <w:rsid w:val="00841666"/>
    <w:rsid w:val="008447ED"/>
    <w:rsid w:val="00845E2F"/>
    <w:rsid w:val="0086336B"/>
    <w:rsid w:val="00874416"/>
    <w:rsid w:val="008954EB"/>
    <w:rsid w:val="008972EF"/>
    <w:rsid w:val="008C4733"/>
    <w:rsid w:val="008E0942"/>
    <w:rsid w:val="008E264E"/>
    <w:rsid w:val="008F7250"/>
    <w:rsid w:val="009010ED"/>
    <w:rsid w:val="009124E1"/>
    <w:rsid w:val="00926593"/>
    <w:rsid w:val="00931B7B"/>
    <w:rsid w:val="00937AFF"/>
    <w:rsid w:val="00950997"/>
    <w:rsid w:val="00951FA7"/>
    <w:rsid w:val="009A06AC"/>
    <w:rsid w:val="009A1774"/>
    <w:rsid w:val="009B2B1B"/>
    <w:rsid w:val="009B4A54"/>
    <w:rsid w:val="009B4CE1"/>
    <w:rsid w:val="009C4AB4"/>
    <w:rsid w:val="009C6F09"/>
    <w:rsid w:val="009D1231"/>
    <w:rsid w:val="009D43B3"/>
    <w:rsid w:val="009E21D9"/>
    <w:rsid w:val="00A038A9"/>
    <w:rsid w:val="00A26E24"/>
    <w:rsid w:val="00A347A2"/>
    <w:rsid w:val="00A702B9"/>
    <w:rsid w:val="00A73BEE"/>
    <w:rsid w:val="00A7483A"/>
    <w:rsid w:val="00A91895"/>
    <w:rsid w:val="00A946E5"/>
    <w:rsid w:val="00A965E7"/>
    <w:rsid w:val="00AB69C7"/>
    <w:rsid w:val="00AC4E86"/>
    <w:rsid w:val="00AE242A"/>
    <w:rsid w:val="00AE5ADA"/>
    <w:rsid w:val="00B060BA"/>
    <w:rsid w:val="00B06850"/>
    <w:rsid w:val="00B22CB8"/>
    <w:rsid w:val="00B45005"/>
    <w:rsid w:val="00B55820"/>
    <w:rsid w:val="00B6110C"/>
    <w:rsid w:val="00B63014"/>
    <w:rsid w:val="00B644CA"/>
    <w:rsid w:val="00B82CB7"/>
    <w:rsid w:val="00BC068A"/>
    <w:rsid w:val="00BC36D6"/>
    <w:rsid w:val="00BD525D"/>
    <w:rsid w:val="00BE0AF8"/>
    <w:rsid w:val="00C01DCB"/>
    <w:rsid w:val="00C343A8"/>
    <w:rsid w:val="00C36EB9"/>
    <w:rsid w:val="00C62B35"/>
    <w:rsid w:val="00CA41C2"/>
    <w:rsid w:val="00CF0666"/>
    <w:rsid w:val="00CF2D89"/>
    <w:rsid w:val="00D16050"/>
    <w:rsid w:val="00D23EFD"/>
    <w:rsid w:val="00D83483"/>
    <w:rsid w:val="00E02696"/>
    <w:rsid w:val="00E11A7F"/>
    <w:rsid w:val="00E46EC6"/>
    <w:rsid w:val="00E478BE"/>
    <w:rsid w:val="00E66E75"/>
    <w:rsid w:val="00E7033B"/>
    <w:rsid w:val="00E85568"/>
    <w:rsid w:val="00E90B2A"/>
    <w:rsid w:val="00F04C7A"/>
    <w:rsid w:val="00F071E4"/>
    <w:rsid w:val="00F12C36"/>
    <w:rsid w:val="00F23B1D"/>
    <w:rsid w:val="00F25C08"/>
    <w:rsid w:val="00F26148"/>
    <w:rsid w:val="00F30D3E"/>
    <w:rsid w:val="00F378E2"/>
    <w:rsid w:val="00F50541"/>
    <w:rsid w:val="00FA2861"/>
    <w:rsid w:val="00FB3434"/>
    <w:rsid w:val="00FC1941"/>
    <w:rsid w:val="00FC1E99"/>
    <w:rsid w:val="00FD15D8"/>
    <w:rsid w:val="00FD6439"/>
    <w:rsid w:val="00FD704E"/>
    <w:rsid w:val="00FE6B62"/>
    <w:rsid w:val="00FF2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B90E"/>
  <w15:chartTrackingRefBased/>
  <w15:docId w15:val="{9E17FD1C-F550-4C5D-819F-E50D1AA5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C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0E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C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B22C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0F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A7D65"/>
    <w:pPr>
      <w:ind w:left="720"/>
      <w:contextualSpacing/>
    </w:pPr>
  </w:style>
  <w:style w:type="character" w:customStyle="1" w:styleId="Heading3Char">
    <w:name w:val="Heading 3 Char"/>
    <w:basedOn w:val="DefaultParagraphFont"/>
    <w:link w:val="Heading3"/>
    <w:uiPriority w:val="9"/>
    <w:rsid w:val="001E0E3E"/>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5264A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775">
      <w:bodyDiv w:val="1"/>
      <w:marLeft w:val="0"/>
      <w:marRight w:val="0"/>
      <w:marTop w:val="0"/>
      <w:marBottom w:val="0"/>
      <w:divBdr>
        <w:top w:val="none" w:sz="0" w:space="0" w:color="auto"/>
        <w:left w:val="none" w:sz="0" w:space="0" w:color="auto"/>
        <w:bottom w:val="none" w:sz="0" w:space="0" w:color="auto"/>
        <w:right w:val="none" w:sz="0" w:space="0" w:color="auto"/>
      </w:divBdr>
    </w:div>
    <w:div w:id="640311714">
      <w:bodyDiv w:val="1"/>
      <w:marLeft w:val="0"/>
      <w:marRight w:val="0"/>
      <w:marTop w:val="0"/>
      <w:marBottom w:val="0"/>
      <w:divBdr>
        <w:top w:val="none" w:sz="0" w:space="0" w:color="auto"/>
        <w:left w:val="none" w:sz="0" w:space="0" w:color="auto"/>
        <w:bottom w:val="none" w:sz="0" w:space="0" w:color="auto"/>
        <w:right w:val="none" w:sz="0" w:space="0" w:color="auto"/>
      </w:divBdr>
    </w:div>
    <w:div w:id="706301510">
      <w:bodyDiv w:val="1"/>
      <w:marLeft w:val="0"/>
      <w:marRight w:val="0"/>
      <w:marTop w:val="0"/>
      <w:marBottom w:val="0"/>
      <w:divBdr>
        <w:top w:val="none" w:sz="0" w:space="0" w:color="auto"/>
        <w:left w:val="none" w:sz="0" w:space="0" w:color="auto"/>
        <w:bottom w:val="none" w:sz="0" w:space="0" w:color="auto"/>
        <w:right w:val="none" w:sz="0" w:space="0" w:color="auto"/>
      </w:divBdr>
    </w:div>
    <w:div w:id="1032875862">
      <w:bodyDiv w:val="1"/>
      <w:marLeft w:val="0"/>
      <w:marRight w:val="0"/>
      <w:marTop w:val="0"/>
      <w:marBottom w:val="0"/>
      <w:divBdr>
        <w:top w:val="none" w:sz="0" w:space="0" w:color="auto"/>
        <w:left w:val="none" w:sz="0" w:space="0" w:color="auto"/>
        <w:bottom w:val="none" w:sz="0" w:space="0" w:color="auto"/>
        <w:right w:val="none" w:sz="0" w:space="0" w:color="auto"/>
      </w:divBdr>
      <w:divsChild>
        <w:div w:id="1245409850">
          <w:marLeft w:val="446"/>
          <w:marRight w:val="0"/>
          <w:marTop w:val="0"/>
          <w:marBottom w:val="0"/>
          <w:divBdr>
            <w:top w:val="none" w:sz="0" w:space="0" w:color="auto"/>
            <w:left w:val="none" w:sz="0" w:space="0" w:color="auto"/>
            <w:bottom w:val="none" w:sz="0" w:space="0" w:color="auto"/>
            <w:right w:val="none" w:sz="0" w:space="0" w:color="auto"/>
          </w:divBdr>
        </w:div>
        <w:div w:id="1186481578">
          <w:marLeft w:val="446"/>
          <w:marRight w:val="0"/>
          <w:marTop w:val="0"/>
          <w:marBottom w:val="0"/>
          <w:divBdr>
            <w:top w:val="none" w:sz="0" w:space="0" w:color="auto"/>
            <w:left w:val="none" w:sz="0" w:space="0" w:color="auto"/>
            <w:bottom w:val="none" w:sz="0" w:space="0" w:color="auto"/>
            <w:right w:val="none" w:sz="0" w:space="0" w:color="auto"/>
          </w:divBdr>
        </w:div>
        <w:div w:id="138772015">
          <w:marLeft w:val="446"/>
          <w:marRight w:val="0"/>
          <w:marTop w:val="0"/>
          <w:marBottom w:val="0"/>
          <w:divBdr>
            <w:top w:val="none" w:sz="0" w:space="0" w:color="auto"/>
            <w:left w:val="none" w:sz="0" w:space="0" w:color="auto"/>
            <w:bottom w:val="none" w:sz="0" w:space="0" w:color="auto"/>
            <w:right w:val="none" w:sz="0" w:space="0" w:color="auto"/>
          </w:divBdr>
        </w:div>
        <w:div w:id="714621955">
          <w:marLeft w:val="446"/>
          <w:marRight w:val="0"/>
          <w:marTop w:val="0"/>
          <w:marBottom w:val="0"/>
          <w:divBdr>
            <w:top w:val="none" w:sz="0" w:space="0" w:color="auto"/>
            <w:left w:val="none" w:sz="0" w:space="0" w:color="auto"/>
            <w:bottom w:val="none" w:sz="0" w:space="0" w:color="auto"/>
            <w:right w:val="none" w:sz="0" w:space="0" w:color="auto"/>
          </w:divBdr>
        </w:div>
        <w:div w:id="944848799">
          <w:marLeft w:val="446"/>
          <w:marRight w:val="0"/>
          <w:marTop w:val="0"/>
          <w:marBottom w:val="0"/>
          <w:divBdr>
            <w:top w:val="none" w:sz="0" w:space="0" w:color="auto"/>
            <w:left w:val="none" w:sz="0" w:space="0" w:color="auto"/>
            <w:bottom w:val="none" w:sz="0" w:space="0" w:color="auto"/>
            <w:right w:val="none" w:sz="0" w:space="0" w:color="auto"/>
          </w:divBdr>
        </w:div>
        <w:div w:id="1646540956">
          <w:marLeft w:val="446"/>
          <w:marRight w:val="0"/>
          <w:marTop w:val="0"/>
          <w:marBottom w:val="0"/>
          <w:divBdr>
            <w:top w:val="none" w:sz="0" w:space="0" w:color="auto"/>
            <w:left w:val="none" w:sz="0" w:space="0" w:color="auto"/>
            <w:bottom w:val="none" w:sz="0" w:space="0" w:color="auto"/>
            <w:right w:val="none" w:sz="0" w:space="0" w:color="auto"/>
          </w:divBdr>
        </w:div>
        <w:div w:id="2129543169">
          <w:marLeft w:val="446"/>
          <w:marRight w:val="0"/>
          <w:marTop w:val="0"/>
          <w:marBottom w:val="0"/>
          <w:divBdr>
            <w:top w:val="none" w:sz="0" w:space="0" w:color="auto"/>
            <w:left w:val="none" w:sz="0" w:space="0" w:color="auto"/>
            <w:bottom w:val="none" w:sz="0" w:space="0" w:color="auto"/>
            <w:right w:val="none" w:sz="0" w:space="0" w:color="auto"/>
          </w:divBdr>
        </w:div>
        <w:div w:id="652372177">
          <w:marLeft w:val="446"/>
          <w:marRight w:val="0"/>
          <w:marTop w:val="0"/>
          <w:marBottom w:val="0"/>
          <w:divBdr>
            <w:top w:val="none" w:sz="0" w:space="0" w:color="auto"/>
            <w:left w:val="none" w:sz="0" w:space="0" w:color="auto"/>
            <w:bottom w:val="none" w:sz="0" w:space="0" w:color="auto"/>
            <w:right w:val="none" w:sz="0" w:space="0" w:color="auto"/>
          </w:divBdr>
        </w:div>
      </w:divsChild>
    </w:div>
    <w:div w:id="1061097656">
      <w:bodyDiv w:val="1"/>
      <w:marLeft w:val="0"/>
      <w:marRight w:val="0"/>
      <w:marTop w:val="0"/>
      <w:marBottom w:val="0"/>
      <w:divBdr>
        <w:top w:val="none" w:sz="0" w:space="0" w:color="auto"/>
        <w:left w:val="none" w:sz="0" w:space="0" w:color="auto"/>
        <w:bottom w:val="none" w:sz="0" w:space="0" w:color="auto"/>
        <w:right w:val="none" w:sz="0" w:space="0" w:color="auto"/>
      </w:divBdr>
      <w:divsChild>
        <w:div w:id="1022630601">
          <w:marLeft w:val="446"/>
          <w:marRight w:val="0"/>
          <w:marTop w:val="0"/>
          <w:marBottom w:val="0"/>
          <w:divBdr>
            <w:top w:val="none" w:sz="0" w:space="0" w:color="auto"/>
            <w:left w:val="none" w:sz="0" w:space="0" w:color="auto"/>
            <w:bottom w:val="none" w:sz="0" w:space="0" w:color="auto"/>
            <w:right w:val="none" w:sz="0" w:space="0" w:color="auto"/>
          </w:divBdr>
        </w:div>
        <w:div w:id="1836258999">
          <w:marLeft w:val="446"/>
          <w:marRight w:val="0"/>
          <w:marTop w:val="0"/>
          <w:marBottom w:val="0"/>
          <w:divBdr>
            <w:top w:val="none" w:sz="0" w:space="0" w:color="auto"/>
            <w:left w:val="none" w:sz="0" w:space="0" w:color="auto"/>
            <w:bottom w:val="none" w:sz="0" w:space="0" w:color="auto"/>
            <w:right w:val="none" w:sz="0" w:space="0" w:color="auto"/>
          </w:divBdr>
        </w:div>
        <w:div w:id="1606109648">
          <w:marLeft w:val="446"/>
          <w:marRight w:val="0"/>
          <w:marTop w:val="0"/>
          <w:marBottom w:val="0"/>
          <w:divBdr>
            <w:top w:val="none" w:sz="0" w:space="0" w:color="auto"/>
            <w:left w:val="none" w:sz="0" w:space="0" w:color="auto"/>
            <w:bottom w:val="none" w:sz="0" w:space="0" w:color="auto"/>
            <w:right w:val="none" w:sz="0" w:space="0" w:color="auto"/>
          </w:divBdr>
        </w:div>
      </w:divsChild>
    </w:div>
    <w:div w:id="1493329847">
      <w:bodyDiv w:val="1"/>
      <w:marLeft w:val="0"/>
      <w:marRight w:val="0"/>
      <w:marTop w:val="0"/>
      <w:marBottom w:val="0"/>
      <w:divBdr>
        <w:top w:val="none" w:sz="0" w:space="0" w:color="auto"/>
        <w:left w:val="none" w:sz="0" w:space="0" w:color="auto"/>
        <w:bottom w:val="none" w:sz="0" w:space="0" w:color="auto"/>
        <w:right w:val="none" w:sz="0" w:space="0" w:color="auto"/>
      </w:divBdr>
      <w:divsChild>
        <w:div w:id="651131576">
          <w:marLeft w:val="605"/>
          <w:marRight w:val="0"/>
          <w:marTop w:val="0"/>
          <w:marBottom w:val="0"/>
          <w:divBdr>
            <w:top w:val="none" w:sz="0" w:space="0" w:color="auto"/>
            <w:left w:val="none" w:sz="0" w:space="0" w:color="auto"/>
            <w:bottom w:val="none" w:sz="0" w:space="0" w:color="auto"/>
            <w:right w:val="none" w:sz="0" w:space="0" w:color="auto"/>
          </w:divBdr>
        </w:div>
        <w:div w:id="163713785">
          <w:marLeft w:val="605"/>
          <w:marRight w:val="0"/>
          <w:marTop w:val="0"/>
          <w:marBottom w:val="0"/>
          <w:divBdr>
            <w:top w:val="none" w:sz="0" w:space="0" w:color="auto"/>
            <w:left w:val="none" w:sz="0" w:space="0" w:color="auto"/>
            <w:bottom w:val="none" w:sz="0" w:space="0" w:color="auto"/>
            <w:right w:val="none" w:sz="0" w:space="0" w:color="auto"/>
          </w:divBdr>
        </w:div>
        <w:div w:id="1837114169">
          <w:marLeft w:val="605"/>
          <w:marRight w:val="0"/>
          <w:marTop w:val="0"/>
          <w:marBottom w:val="0"/>
          <w:divBdr>
            <w:top w:val="none" w:sz="0" w:space="0" w:color="auto"/>
            <w:left w:val="none" w:sz="0" w:space="0" w:color="auto"/>
            <w:bottom w:val="none" w:sz="0" w:space="0" w:color="auto"/>
            <w:right w:val="none" w:sz="0" w:space="0" w:color="auto"/>
          </w:divBdr>
        </w:div>
        <w:div w:id="578756361">
          <w:marLeft w:val="605"/>
          <w:marRight w:val="0"/>
          <w:marTop w:val="0"/>
          <w:marBottom w:val="0"/>
          <w:divBdr>
            <w:top w:val="none" w:sz="0" w:space="0" w:color="auto"/>
            <w:left w:val="none" w:sz="0" w:space="0" w:color="auto"/>
            <w:bottom w:val="none" w:sz="0" w:space="0" w:color="auto"/>
            <w:right w:val="none" w:sz="0" w:space="0" w:color="auto"/>
          </w:divBdr>
        </w:div>
        <w:div w:id="862329478">
          <w:marLeft w:val="605"/>
          <w:marRight w:val="0"/>
          <w:marTop w:val="0"/>
          <w:marBottom w:val="0"/>
          <w:divBdr>
            <w:top w:val="none" w:sz="0" w:space="0" w:color="auto"/>
            <w:left w:val="none" w:sz="0" w:space="0" w:color="auto"/>
            <w:bottom w:val="none" w:sz="0" w:space="0" w:color="auto"/>
            <w:right w:val="none" w:sz="0" w:space="0" w:color="auto"/>
          </w:divBdr>
        </w:div>
        <w:div w:id="215507767">
          <w:marLeft w:val="605"/>
          <w:marRight w:val="0"/>
          <w:marTop w:val="0"/>
          <w:marBottom w:val="0"/>
          <w:divBdr>
            <w:top w:val="none" w:sz="0" w:space="0" w:color="auto"/>
            <w:left w:val="none" w:sz="0" w:space="0" w:color="auto"/>
            <w:bottom w:val="none" w:sz="0" w:space="0" w:color="auto"/>
            <w:right w:val="none" w:sz="0" w:space="0" w:color="auto"/>
          </w:divBdr>
        </w:div>
      </w:divsChild>
    </w:div>
    <w:div w:id="1607736115">
      <w:bodyDiv w:val="1"/>
      <w:marLeft w:val="0"/>
      <w:marRight w:val="0"/>
      <w:marTop w:val="0"/>
      <w:marBottom w:val="0"/>
      <w:divBdr>
        <w:top w:val="none" w:sz="0" w:space="0" w:color="auto"/>
        <w:left w:val="none" w:sz="0" w:space="0" w:color="auto"/>
        <w:bottom w:val="none" w:sz="0" w:space="0" w:color="auto"/>
        <w:right w:val="none" w:sz="0" w:space="0" w:color="auto"/>
      </w:divBdr>
    </w:div>
    <w:div w:id="2067028479">
      <w:bodyDiv w:val="1"/>
      <w:marLeft w:val="0"/>
      <w:marRight w:val="0"/>
      <w:marTop w:val="0"/>
      <w:marBottom w:val="0"/>
      <w:divBdr>
        <w:top w:val="none" w:sz="0" w:space="0" w:color="auto"/>
        <w:left w:val="none" w:sz="0" w:space="0" w:color="auto"/>
        <w:bottom w:val="none" w:sz="0" w:space="0" w:color="auto"/>
        <w:right w:val="none" w:sz="0" w:space="0" w:color="auto"/>
      </w:divBdr>
    </w:div>
    <w:div w:id="210345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emf"/><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11257</TotalTime>
  <Pages>25</Pages>
  <Words>3382</Words>
  <Characters>19284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47</cp:revision>
  <dcterms:created xsi:type="dcterms:W3CDTF">2020-08-04T05:01:00Z</dcterms:created>
  <dcterms:modified xsi:type="dcterms:W3CDTF">2021-06-23T03:06:00Z</dcterms:modified>
</cp:coreProperties>
</file>